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8F489">
      <w:pPr>
        <w:tabs>
          <w:tab w:val="center" w:pos="4536"/>
          <w:tab w:val="right" w:pos="9072"/>
        </w:tabs>
        <w:spacing w:before="120"/>
        <w:rPr>
          <w:rFonts w:ascii="Arial" w:hAnsi="Arial" w:cs="Arial" w:eastAsiaTheme="minorEastAsia"/>
          <w:b/>
          <w:bCs/>
          <w:sz w:val="22"/>
          <w:szCs w:val="22"/>
          <w:lang w:eastAsia="zh-CN"/>
        </w:rPr>
      </w:pPr>
      <w:bookmarkStart w:id="0" w:name="OLE_LINK25"/>
      <w:bookmarkStart w:id="1" w:name="OLE_LINK26"/>
      <w:r>
        <w:rPr>
          <w:rFonts w:ascii="Arial" w:hAnsi="Arial" w:cs="Arial"/>
          <w:b/>
          <w:bCs/>
          <w:sz w:val="22"/>
          <w:szCs w:val="22"/>
        </w:rPr>
        <w:t>3GPP TSG RAN WG1 #1</w:t>
      </w:r>
      <w:r>
        <w:rPr>
          <w:rFonts w:hint="eastAsia" w:ascii="Arial" w:hAnsi="Arial" w:cs="Arial" w:eastAsiaTheme="minorEastAsia"/>
          <w:b/>
          <w:bCs/>
          <w:sz w:val="22"/>
          <w:szCs w:val="22"/>
          <w:lang w:eastAsia="zh-CN"/>
        </w:rPr>
        <w:t>2</w:t>
      </w:r>
      <w:r>
        <w:rPr>
          <w:rFonts w:hint="eastAsia" w:ascii="Arial" w:hAnsi="Arial" w:cs="Arial" w:eastAsiaTheme="minorEastAsia"/>
          <w:b/>
          <w:bCs/>
          <w:sz w:val="22"/>
          <w:szCs w:val="22"/>
          <w:lang w:val="en-US" w:eastAsia="zh-CN"/>
        </w:rPr>
        <w:t>2</w:t>
      </w:r>
      <w:r>
        <w:rPr>
          <w:rFonts w:ascii="Arial" w:hAnsi="Arial" w:cs="Arial"/>
          <w:b/>
          <w:bCs/>
          <w:sz w:val="22"/>
          <w:szCs w:val="22"/>
        </w:rPr>
        <w:t xml:space="preserve">                                                                            </w:t>
      </w:r>
      <w:r>
        <w:rPr>
          <w:rFonts w:hint="eastAsia" w:ascii="Arial" w:hAnsi="Arial" w:cs="Arial" w:eastAsiaTheme="minorEastAsia"/>
          <w:b/>
          <w:bCs/>
          <w:sz w:val="22"/>
          <w:szCs w:val="22"/>
          <w:lang w:eastAsia="zh-CN"/>
        </w:rPr>
        <w:t>R1-2505124</w:t>
      </w:r>
    </w:p>
    <w:bookmarkEnd w:id="0"/>
    <w:bookmarkEnd w:id="1"/>
    <w:p w14:paraId="0DEA0DEE">
      <w:pPr>
        <w:spacing w:before="120"/>
        <w:rPr>
          <w:rFonts w:ascii="Arial" w:hAnsi="Arial" w:eastAsia="MS Mincho" w:cs="Arial"/>
          <w:b/>
          <w:bCs/>
          <w:sz w:val="22"/>
          <w:szCs w:val="22"/>
          <w:lang w:eastAsia="zh-CN"/>
        </w:rPr>
      </w:pPr>
      <w:r>
        <w:rPr>
          <w:rFonts w:hint="eastAsia" w:ascii="Arial" w:hAnsi="Arial" w:cs="Arial" w:eastAsiaTheme="minorEastAsia"/>
          <w:b/>
          <w:bCs/>
          <w:sz w:val="22"/>
          <w:szCs w:val="22"/>
          <w:lang w:val="en-US" w:eastAsia="zh-CN"/>
        </w:rPr>
        <w:t>Bengaluru , India</w:t>
      </w:r>
      <w:r>
        <w:rPr>
          <w:rFonts w:ascii="Arial" w:hAnsi="Arial" w:cs="Arial" w:eastAsiaTheme="minorEastAsia"/>
          <w:b/>
          <w:bCs/>
          <w:sz w:val="22"/>
          <w:szCs w:val="22"/>
          <w:lang w:eastAsia="zh-CN"/>
        </w:rPr>
        <w:t xml:space="preserve">, </w:t>
      </w:r>
      <w:r>
        <w:rPr>
          <w:rFonts w:hint="eastAsia" w:ascii="Arial" w:hAnsi="Arial" w:cs="Arial" w:eastAsiaTheme="minorEastAsia"/>
          <w:b/>
          <w:bCs/>
          <w:sz w:val="22"/>
          <w:szCs w:val="22"/>
          <w:lang w:val="en-US" w:eastAsia="zh-CN"/>
        </w:rPr>
        <w:t>August</w:t>
      </w:r>
      <w:r>
        <w:rPr>
          <w:rFonts w:ascii="Arial" w:hAnsi="Arial" w:cs="Arial" w:eastAsiaTheme="minorEastAsia"/>
          <w:b/>
          <w:bCs/>
          <w:sz w:val="22"/>
          <w:szCs w:val="22"/>
          <w:lang w:eastAsia="zh-CN"/>
        </w:rPr>
        <w:t xml:space="preserve"> </w:t>
      </w:r>
      <w:r>
        <w:rPr>
          <w:rFonts w:hint="eastAsia" w:ascii="Arial" w:hAnsi="Arial" w:cs="Arial" w:eastAsiaTheme="minorEastAsia"/>
          <w:b/>
          <w:bCs/>
          <w:sz w:val="22"/>
          <w:szCs w:val="22"/>
          <w:lang w:val="en-US" w:eastAsia="zh-CN"/>
        </w:rPr>
        <w:t>25</w:t>
      </w:r>
      <w:r>
        <w:rPr>
          <w:rFonts w:ascii="Arial" w:hAnsi="Arial" w:cs="Arial" w:eastAsiaTheme="minorEastAsia"/>
          <w:b/>
          <w:bCs/>
          <w:sz w:val="22"/>
          <w:szCs w:val="22"/>
          <w:vertAlign w:val="superscript"/>
          <w:lang w:eastAsia="zh-CN"/>
        </w:rPr>
        <w:t>th</w:t>
      </w:r>
      <w:r>
        <w:rPr>
          <w:rFonts w:ascii="Arial" w:hAnsi="Arial" w:cs="Arial" w:eastAsiaTheme="minorEastAsia"/>
          <w:b/>
          <w:bCs/>
          <w:sz w:val="22"/>
          <w:szCs w:val="22"/>
          <w:lang w:eastAsia="zh-CN"/>
        </w:rPr>
        <w:t xml:space="preserve"> – </w:t>
      </w:r>
      <w:r>
        <w:rPr>
          <w:rFonts w:hint="eastAsia" w:ascii="Arial" w:hAnsi="Arial" w:cs="Arial" w:eastAsiaTheme="minorEastAsia"/>
          <w:b/>
          <w:bCs/>
          <w:sz w:val="22"/>
          <w:szCs w:val="22"/>
          <w:lang w:val="en-US" w:eastAsia="zh-CN"/>
        </w:rPr>
        <w:t>29</w:t>
      </w:r>
      <w:r>
        <w:rPr>
          <w:rFonts w:hint="eastAsia" w:ascii="Arial" w:hAnsi="Arial" w:cs="Arial" w:eastAsiaTheme="minorEastAsia"/>
          <w:b/>
          <w:bCs/>
          <w:sz w:val="22"/>
          <w:szCs w:val="22"/>
          <w:vertAlign w:val="superscript"/>
          <w:lang w:val="en-US" w:eastAsia="zh-CN"/>
        </w:rPr>
        <w:t>th</w:t>
      </w:r>
      <w:r>
        <w:rPr>
          <w:rFonts w:ascii="Arial" w:hAnsi="Arial" w:cs="Arial" w:eastAsiaTheme="minorEastAsia"/>
          <w:b/>
          <w:bCs/>
          <w:sz w:val="22"/>
          <w:szCs w:val="22"/>
          <w:lang w:eastAsia="zh-CN"/>
        </w:rPr>
        <w:t>, 2025</w:t>
      </w:r>
    </w:p>
    <w:p w14:paraId="672514FD">
      <w:pPr>
        <w:pStyle w:val="16"/>
        <w:rPr>
          <w:rFonts w:eastAsia="MS Mincho" w:cs="Arial"/>
          <w:bCs/>
          <w:sz w:val="22"/>
        </w:rPr>
      </w:pPr>
    </w:p>
    <w:p w14:paraId="14A30A3A">
      <w:pPr>
        <w:pStyle w:val="16"/>
        <w:tabs>
          <w:tab w:val="left" w:pos="1800"/>
        </w:tabs>
        <w:spacing w:before="120"/>
        <w:rPr>
          <w:rFonts w:cs="Arial"/>
          <w:sz w:val="22"/>
        </w:rPr>
      </w:pPr>
      <w:bookmarkStart w:id="2" w:name="OLE_LINK14"/>
      <w:bookmarkStart w:id="3" w:name="OLE_LINK13"/>
      <w:r>
        <w:rPr>
          <w:rFonts w:cs="Arial"/>
          <w:sz w:val="22"/>
        </w:rPr>
        <w:t>Source:</w:t>
      </w:r>
      <w:r>
        <w:rPr>
          <w:rFonts w:cs="Arial"/>
          <w:sz w:val="22"/>
        </w:rPr>
        <w:tab/>
      </w:r>
      <w:r>
        <w:rPr>
          <w:rFonts w:hint="eastAsia" w:eastAsia="宋体" w:cs="Arial"/>
          <w:sz w:val="22"/>
          <w:lang w:eastAsia="zh-CN"/>
        </w:rPr>
        <w:t>SageRAN</w:t>
      </w:r>
    </w:p>
    <w:p w14:paraId="4DCBFE27">
      <w:pPr>
        <w:pStyle w:val="16"/>
        <w:tabs>
          <w:tab w:val="left" w:pos="1800"/>
        </w:tabs>
        <w:spacing w:before="120"/>
        <w:rPr>
          <w:rFonts w:eastAsia="宋体" w:cs="Arial"/>
          <w:sz w:val="22"/>
          <w:lang w:eastAsia="zh-CN"/>
        </w:rPr>
      </w:pPr>
      <w:r>
        <w:rPr>
          <w:rFonts w:cs="Arial"/>
          <w:sz w:val="22"/>
        </w:rPr>
        <w:t>Title:</w:t>
      </w:r>
      <w:r>
        <w:rPr>
          <w:rFonts w:cs="Arial"/>
          <w:sz w:val="22"/>
        </w:rPr>
        <w:tab/>
      </w:r>
      <w:r>
        <w:rPr>
          <w:rFonts w:hint="eastAsia" w:cs="Arial"/>
          <w:sz w:val="22"/>
        </w:rPr>
        <w:t>Discussion on NR-NTN GNSS resilience</w:t>
      </w:r>
    </w:p>
    <w:p w14:paraId="25E20905">
      <w:pPr>
        <w:pStyle w:val="16"/>
        <w:tabs>
          <w:tab w:val="left" w:pos="1800"/>
        </w:tabs>
        <w:spacing w:before="120"/>
        <w:rPr>
          <w:rFonts w:hint="default" w:eastAsia="宋体" w:cs="Arial"/>
          <w:sz w:val="22"/>
          <w:lang w:val="en-US" w:eastAsia="zh-CN"/>
        </w:rPr>
      </w:pPr>
      <w:r>
        <w:rPr>
          <w:rFonts w:cs="Arial"/>
          <w:sz w:val="22"/>
        </w:rPr>
        <w:t>Agenda Item:</w:t>
      </w:r>
      <w:r>
        <w:rPr>
          <w:rFonts w:cs="Arial"/>
          <w:sz w:val="22"/>
        </w:rPr>
        <w:tab/>
      </w:r>
      <w:r>
        <w:rPr>
          <w:rFonts w:hint="eastAsia" w:eastAsia="宋体" w:cs="Arial"/>
          <w:sz w:val="22"/>
          <w:lang w:val="en-US" w:eastAsia="zh-CN"/>
        </w:rPr>
        <w:t>10.6.1</w:t>
      </w:r>
    </w:p>
    <w:p w14:paraId="6B80B90A">
      <w:pPr>
        <w:pStyle w:val="16"/>
        <w:tabs>
          <w:tab w:val="left" w:pos="1800"/>
        </w:tabs>
        <w:spacing w:before="120"/>
        <w:rPr>
          <w:rFonts w:eastAsia="宋体" w:cs="Arial"/>
          <w:sz w:val="28"/>
          <w:lang w:eastAsia="zh-CN"/>
        </w:rPr>
      </w:pPr>
      <w:r>
        <w:rPr>
          <w:rFonts w:cs="Arial"/>
          <w:sz w:val="22"/>
        </w:rPr>
        <w:t>Document for:</w:t>
      </w:r>
      <w:r>
        <w:rPr>
          <w:rFonts w:cs="Arial"/>
          <w:sz w:val="22"/>
        </w:rPr>
        <w:tab/>
      </w:r>
      <w:r>
        <w:rPr>
          <w:rFonts w:cs="Arial"/>
          <w:sz w:val="22"/>
        </w:rPr>
        <w:t>Discussion</w:t>
      </w:r>
      <w:r>
        <w:rPr>
          <w:rFonts w:eastAsia="宋体" w:cs="Arial"/>
          <w:sz w:val="22"/>
          <w:lang w:eastAsia="zh-CN"/>
        </w:rPr>
        <w:t xml:space="preserve"> and Decision</w:t>
      </w:r>
    </w:p>
    <w:p w14:paraId="4447A5A0">
      <w:pPr>
        <w:pStyle w:val="2"/>
        <w:keepLines/>
        <w:numPr>
          <w:ilvl w:val="0"/>
          <w:numId w:val="5"/>
        </w:numPr>
        <w:pBdr>
          <w:top w:val="single" w:color="auto" w:sz="12" w:space="3"/>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r>
        <w:rPr>
          <w:rFonts w:hint="eastAsia" w:ascii="Arial" w:hAnsi="Arial" w:cs="Times New Roman"/>
          <w:b w:val="0"/>
          <w:bCs w:val="0"/>
          <w:kern w:val="0"/>
          <w:sz w:val="36"/>
          <w:szCs w:val="20"/>
          <w:lang w:val="en-GB" w:eastAsia="en-GB"/>
        </w:rPr>
        <w:t>Introduction</w:t>
      </w:r>
    </w:p>
    <w:p w14:paraId="28F242E8">
      <w:pPr>
        <w:jc w:val="both"/>
        <w:rPr>
          <w:color w:val="312E25"/>
          <w:lang w:val="en-US"/>
        </w:rPr>
      </w:pPr>
      <w:r>
        <w:rPr>
          <w:color w:val="312E25"/>
          <w:lang w:val="en-US"/>
        </w:rPr>
        <w:t>UEs compatible with Rel-17/18/19 and supporting NTN access are expected to be equipped with GNSS (Global Navigation Satellite System). These UEs should support uplink time and frequency pre-compensation based on their GNSS-acquired position. The GNSS availability is therefore essential for NTN access due to its necessity for physical layer operations.</w:t>
      </w:r>
      <w:r>
        <w:rPr>
          <w:lang w:val="en-US"/>
        </w:rPr>
        <w:t xml:space="preserve"> </w:t>
      </w:r>
      <w:r>
        <w:rPr>
          <w:color w:val="312E25"/>
          <w:lang w:val="en-US"/>
        </w:rPr>
        <w:t>Additionally, GNSS availability may be useful for higher layer procedures such as location-based conditional handovers.</w:t>
      </w:r>
    </w:p>
    <w:p w14:paraId="04B4D977">
      <w:pPr>
        <w:jc w:val="both"/>
        <w:rPr>
          <w:color w:val="312E25"/>
          <w:lang w:val="en-US"/>
        </w:rPr>
      </w:pPr>
      <w:r>
        <w:rPr>
          <w:color w:val="312E25"/>
          <w:lang w:val="en-US"/>
        </w:rPr>
        <w:t xml:space="preserve">However, GNSS information in UE may be </w:t>
      </w:r>
    </w:p>
    <w:p w14:paraId="3495580C">
      <w:pPr>
        <w:pStyle w:val="54"/>
        <w:widowControl/>
        <w:numPr>
          <w:ilvl w:val="0"/>
          <w:numId w:val="7"/>
        </w:numPr>
        <w:spacing w:before="120" w:after="120"/>
        <w:ind w:firstLineChars="0"/>
        <w:rPr>
          <w:rFonts w:ascii="Times New Roman" w:hAnsi="Times New Roman"/>
          <w:color w:val="312E25"/>
          <w:sz w:val="20"/>
          <w:szCs w:val="20"/>
        </w:rPr>
      </w:pPr>
      <w:r>
        <w:rPr>
          <w:rFonts w:ascii="Times New Roman" w:hAnsi="Times New Roman"/>
          <w:color w:val="312E25"/>
          <w:sz w:val="20"/>
          <w:szCs w:val="20"/>
        </w:rPr>
        <w:t xml:space="preserve">temporarily unavailable </w:t>
      </w:r>
    </w:p>
    <w:p w14:paraId="6EADC770">
      <w:pPr>
        <w:pStyle w:val="54"/>
        <w:widowControl/>
        <w:numPr>
          <w:ilvl w:val="0"/>
          <w:numId w:val="7"/>
        </w:numPr>
        <w:spacing w:before="120" w:after="120"/>
        <w:ind w:firstLineChars="0"/>
        <w:rPr>
          <w:rFonts w:ascii="Times New Roman" w:hAnsi="Times New Roman"/>
          <w:color w:val="312E25"/>
          <w:sz w:val="20"/>
          <w:szCs w:val="20"/>
        </w:rPr>
      </w:pPr>
      <w:r>
        <w:rPr>
          <w:rFonts w:ascii="Times New Roman" w:hAnsi="Times New Roman"/>
          <w:color w:val="312E25"/>
          <w:sz w:val="20"/>
          <w:szCs w:val="20"/>
        </w:rPr>
        <w:t>or available but degraded, leading to a reduction in GNSS position accuracy.</w:t>
      </w:r>
    </w:p>
    <w:p w14:paraId="25C0B366">
      <w:pPr>
        <w:jc w:val="both"/>
        <w:rPr>
          <w:color w:val="312E25"/>
          <w:lang w:val="en-US"/>
        </w:rPr>
      </w:pPr>
      <w:r>
        <w:rPr>
          <w:color w:val="312E25"/>
          <w:lang w:val="en-US"/>
        </w:rPr>
        <w:t xml:space="preserve">These occurrences are becoming more and more common and result in a 3GPP NTN service that is not very robust.  </w:t>
      </w:r>
    </w:p>
    <w:p w14:paraId="70C3F74D">
      <w:pPr>
        <w:jc w:val="both"/>
        <w:rPr>
          <w:color w:val="312E25"/>
          <w:lang w:val="en-US"/>
        </w:rPr>
      </w:pPr>
      <w:r>
        <w:rPr>
          <w:color w:val="312E25"/>
          <w:lang w:val="en-US"/>
        </w:rPr>
        <w:t>The main reasons for this, include.</w:t>
      </w:r>
    </w:p>
    <w:p w14:paraId="278F300B">
      <w:pPr>
        <w:pStyle w:val="54"/>
        <w:widowControl/>
        <w:numPr>
          <w:ilvl w:val="0"/>
          <w:numId w:val="7"/>
        </w:numPr>
        <w:spacing w:before="120" w:after="120"/>
        <w:ind w:firstLineChars="0"/>
        <w:rPr>
          <w:rFonts w:ascii="Times New Roman" w:hAnsi="Times New Roman"/>
          <w:color w:val="312E25"/>
          <w:sz w:val="20"/>
          <w:szCs w:val="20"/>
        </w:rPr>
      </w:pPr>
      <w:r>
        <w:rPr>
          <w:rFonts w:ascii="Times New Roman" w:hAnsi="Times New Roman"/>
          <w:color w:val="312E25"/>
          <w:sz w:val="20"/>
          <w:szCs w:val="20"/>
        </w:rPr>
        <w:t>Potential occurrence of GNSS jamming, leading to denial of service.</w:t>
      </w:r>
    </w:p>
    <w:p w14:paraId="7AF9C81F">
      <w:pPr>
        <w:pStyle w:val="54"/>
        <w:widowControl/>
        <w:numPr>
          <w:ilvl w:val="0"/>
          <w:numId w:val="7"/>
        </w:numPr>
        <w:spacing w:before="120" w:after="120"/>
        <w:ind w:firstLineChars="0"/>
        <w:rPr>
          <w:rFonts w:ascii="Times New Roman" w:hAnsi="Times New Roman"/>
          <w:color w:val="312E25"/>
          <w:sz w:val="20"/>
          <w:szCs w:val="20"/>
        </w:rPr>
      </w:pPr>
      <w:r>
        <w:rPr>
          <w:rFonts w:ascii="Times New Roman" w:hAnsi="Times New Roman"/>
          <w:color w:val="312E25"/>
          <w:sz w:val="20"/>
          <w:szCs w:val="20"/>
        </w:rPr>
        <w:t>Potential occurrence of GNSS spoofing and other effects (e.g. poor geometry, local blockages, solar storm activity or simply increased GNSS measurement period to save UE power) beyond the control of the satellite network operator, leading to incorrect/inaccurate location calculation and position fix at the UE side, resulting in an out-of-sync condition.</w:t>
      </w:r>
    </w:p>
    <w:p w14:paraId="0429BDA2">
      <w:pPr>
        <w:pStyle w:val="54"/>
        <w:widowControl/>
        <w:numPr>
          <w:ilvl w:val="0"/>
          <w:numId w:val="7"/>
        </w:numPr>
        <w:spacing w:before="120" w:after="120"/>
        <w:ind w:firstLineChars="0"/>
        <w:rPr>
          <w:rFonts w:ascii="Times New Roman" w:hAnsi="Times New Roman"/>
          <w:color w:val="312E25"/>
          <w:sz w:val="20"/>
          <w:szCs w:val="20"/>
        </w:rPr>
      </w:pPr>
      <w:r>
        <w:rPr>
          <w:rFonts w:ascii="Times New Roman" w:hAnsi="Times New Roman"/>
          <w:color w:val="312E25"/>
          <w:sz w:val="20"/>
          <w:szCs w:val="20"/>
        </w:rPr>
        <w:t xml:space="preserve">UE possibly being in an adverse environment where NTN access is possible but GNSS signal is too weak, due to the difference in link budget margin between both systems. </w:t>
      </w:r>
    </w:p>
    <w:p w14:paraId="5F3588ED">
      <w:pPr>
        <w:jc w:val="both"/>
        <w:rPr>
          <w:color w:val="312E25"/>
          <w:lang w:val="en-US"/>
        </w:rPr>
      </w:pPr>
      <w:r>
        <w:rPr>
          <w:color w:val="312E25"/>
          <w:lang w:val="en-US"/>
        </w:rPr>
        <w:t>Moreover, the dependency on the GNSS system renders the 3GPP NR NTN system less resilient, as it relies on an external third-party system. While previous releases primarily focused on introducing NTN support within 3GPP specifications, the Rel-20 should aim to enhance resilience by reducing dependence on GNSS. This involves supporting GNSS-resilient operation, thereby allowing the system to function efficiently even in scenarios where GNSS is temporarily unavailable or compromised.</w:t>
      </w:r>
    </w:p>
    <w:p w14:paraId="5BD86984">
      <w:pPr>
        <w:spacing w:after="120"/>
        <w:jc w:val="both"/>
        <w:rPr>
          <w:color w:val="312E25"/>
          <w:lang w:val="en-US"/>
        </w:rPr>
      </w:pPr>
      <w:r>
        <w:rPr>
          <w:color w:val="312E25"/>
          <w:lang w:val="en-US"/>
        </w:rPr>
        <w:t>In order to increase the robustness of its operation, enhancements to NR-NTN shall be investigated and defined to mitigate the impacts of potential GNSS spoofing/jamming.</w:t>
      </w:r>
    </w:p>
    <w:p w14:paraId="46BF5FC1">
      <w:pPr>
        <w:spacing w:after="120"/>
        <w:jc w:val="both"/>
        <w:rPr>
          <w:color w:val="312E25"/>
          <w:lang w:val="en-US"/>
        </w:rPr>
      </w:pPr>
    </w:p>
    <w:p w14:paraId="71EE3DE3">
      <w:pPr>
        <w:rPr>
          <w:lang w:val="en-US"/>
        </w:rPr>
      </w:pPr>
      <w:r>
        <w:rPr>
          <w:lang w:val="en-US"/>
        </w:rPr>
        <w:t>The study will be carried assuming that</w:t>
      </w:r>
    </w:p>
    <w:p w14:paraId="356C351D">
      <w:pPr>
        <w:numPr>
          <w:ilvl w:val="0"/>
          <w:numId w:val="8"/>
        </w:numPr>
        <w:spacing w:after="0" w:line="276" w:lineRule="auto"/>
        <w:rPr>
          <w:szCs w:val="16"/>
          <w:lang w:val="en-US"/>
        </w:rPr>
      </w:pPr>
      <w:r>
        <w:rPr>
          <w:szCs w:val="16"/>
          <w:lang w:val="en-US"/>
        </w:rPr>
        <w:t xml:space="preserve">The GNSS information in UE with GNSS capability may be 1/ temporarily unavailable or 2/ available but </w:t>
      </w:r>
      <w:r>
        <w:rPr>
          <w:rFonts w:hint="eastAsia"/>
          <w:szCs w:val="16"/>
          <w:lang w:val="en-US"/>
        </w:rPr>
        <w:t>with</w:t>
      </w:r>
      <w:r>
        <w:rPr>
          <w:szCs w:val="16"/>
          <w:lang w:val="en-US"/>
        </w:rPr>
        <w:t xml:space="preserve"> </w:t>
      </w:r>
      <w:r>
        <w:rPr>
          <w:rFonts w:hint="eastAsia"/>
          <w:szCs w:val="16"/>
          <w:lang w:val="en-US"/>
        </w:rPr>
        <w:t xml:space="preserve">GNSS position accuracy </w:t>
      </w:r>
      <w:r>
        <w:rPr>
          <w:szCs w:val="16"/>
          <w:lang w:val="en-US"/>
        </w:rPr>
        <w:t>degradation or 3/ available but with increased GNSS measurement period for power saving purpose</w:t>
      </w:r>
    </w:p>
    <w:p w14:paraId="33A1FD6D">
      <w:pPr>
        <w:numPr>
          <w:ilvl w:val="1"/>
          <w:numId w:val="9"/>
        </w:numPr>
        <w:spacing w:after="0"/>
        <w:rPr>
          <w:lang w:val="en-US"/>
        </w:rPr>
      </w:pPr>
      <w:r>
        <w:rPr>
          <w:lang w:val="en-US"/>
        </w:rPr>
        <w:t>This study will initially focus on 1/ (where GNSS information is temporarily unavailable)</w:t>
      </w:r>
    </w:p>
    <w:p w14:paraId="501F397E">
      <w:pPr>
        <w:numPr>
          <w:ilvl w:val="1"/>
          <w:numId w:val="9"/>
        </w:numPr>
        <w:spacing w:after="0"/>
        <w:rPr>
          <w:lang w:val="en-US"/>
        </w:rPr>
      </w:pPr>
      <w:r>
        <w:rPr>
          <w:lang w:val="en-US"/>
        </w:rPr>
        <w:t>Note: This study does not include any enhancement on positioning for the above scenario</w:t>
      </w:r>
    </w:p>
    <w:p w14:paraId="27C17DE4">
      <w:pPr>
        <w:spacing w:after="120"/>
        <w:jc w:val="both"/>
        <w:rPr>
          <w:color w:val="312E25"/>
          <w:lang w:val="en-US"/>
        </w:rPr>
      </w:pPr>
    </w:p>
    <w:p w14:paraId="5F499824">
      <w:pPr>
        <w:pStyle w:val="2"/>
        <w:keepLines/>
        <w:numPr>
          <w:ilvl w:val="0"/>
          <w:numId w:val="5"/>
        </w:numPr>
        <w:pBdr>
          <w:top w:val="single" w:color="auto" w:sz="12" w:space="3"/>
        </w:pBdr>
        <w:overflowPunct w:val="0"/>
        <w:autoSpaceDE w:val="0"/>
        <w:autoSpaceDN w:val="0"/>
        <w:adjustRightInd w:val="0"/>
        <w:spacing w:after="180"/>
        <w:textAlignment w:val="baseline"/>
        <w:rPr>
          <w:rFonts w:ascii="Arial" w:hAnsi="Arial" w:eastAsia="宋体" w:cs="Times New Roman"/>
          <w:b w:val="0"/>
          <w:bCs w:val="0"/>
          <w:kern w:val="0"/>
          <w:sz w:val="36"/>
          <w:szCs w:val="20"/>
          <w:lang w:val="fr-FR" w:eastAsia="zh-CN"/>
        </w:rPr>
      </w:pPr>
      <w:r>
        <w:rPr>
          <w:rFonts w:ascii="Arial" w:hAnsi="Arial" w:eastAsia="宋体" w:cs="Times New Roman"/>
          <w:b w:val="0"/>
          <w:bCs w:val="0"/>
          <w:kern w:val="0"/>
          <w:sz w:val="36"/>
          <w:szCs w:val="20"/>
          <w:lang w:val="fr-FR" w:eastAsia="zh-CN"/>
        </w:rPr>
        <w:t>Discussion</w:t>
      </w:r>
      <w:bookmarkStart w:id="4" w:name="_Ref47611271"/>
      <w:bookmarkStart w:id="5" w:name="_Ref47611245"/>
    </w:p>
    <w:p w14:paraId="3EC573B6">
      <w:pPr>
        <w:pStyle w:val="4"/>
        <w:numPr>
          <w:ilvl w:val="1"/>
          <w:numId w:val="5"/>
        </w:numPr>
        <w:bidi w:val="0"/>
        <w:rPr>
          <w:rFonts w:hint="default"/>
          <w:lang w:val="en-US" w:eastAsia="zh-CN"/>
        </w:rPr>
      </w:pPr>
      <w:r>
        <w:rPr>
          <w:rFonts w:hint="eastAsia"/>
          <w:lang w:val="en-US" w:eastAsia="zh-CN"/>
        </w:rPr>
        <w:t>Frequency offset estimation</w:t>
      </w:r>
    </w:p>
    <w:p w14:paraId="46A9B155">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After power on, as there is no frequency offset knowledge in the initial stage, UE should perform cell search by detecting PSS in a wide frequency range. When synchronization signal is captured, the received frequency can be measured by UE.</w:t>
      </w:r>
    </w:p>
    <w:p w14:paraId="3870277A">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If the SS transmission frequency is known by UE, the downlink frequency offset can be calculated as following.</w:t>
      </w:r>
    </w:p>
    <w:p w14:paraId="00D303B4">
      <w:pPr>
        <w:spacing w:before="120" w:beforeLines="50" w:after="120"/>
        <w:jc w:val="both"/>
        <w:rPr>
          <w:rFonts w:hint="default" w:hAnsi="Cambria Math" w:eastAsia="宋体"/>
          <w:sz w:val="20"/>
          <w:lang w:val="en-US" w:eastAsia="zh-CN"/>
        </w:rPr>
      </w:pPr>
      <m:oMathPara>
        <m:oMath>
          <m:r>
            <m:rPr/>
            <w:rPr>
              <w:rFonts w:ascii="Cambria Math" w:hAnsi="Cambria Math"/>
              <w:sz w:val="20"/>
              <w:lang w:val="en-US"/>
            </w:rPr>
            <m:t>∆</m:t>
          </m:r>
          <m:sSub>
            <m:sSubPr>
              <m:ctrlPr>
                <w:rPr>
                  <w:rFonts w:hint="default" w:ascii="Cambria Math" w:hAnsi="Cambria Math" w:eastAsia="宋体"/>
                  <w:i/>
                  <w:iCs/>
                  <w:sz w:val="20"/>
                  <w:lang w:val="en-US" w:eastAsia="zh-CN"/>
                </w:rPr>
              </m:ctrlPr>
            </m:sSubPr>
            <m:e>
              <m:r>
                <m:rPr/>
                <w:rPr>
                  <w:rFonts w:hint="default" w:ascii="Cambria Math" w:hAnsi="Cambria Math" w:eastAsia="宋体"/>
                  <w:sz w:val="20"/>
                  <w:lang w:val="en-US" w:eastAsia="zh-CN"/>
                </w:rPr>
                <m:t>f</m:t>
              </m:r>
              <m:ctrlPr>
                <w:rPr>
                  <w:rFonts w:hint="default" w:ascii="Cambria Math" w:hAnsi="Cambria Math" w:eastAsia="宋体"/>
                  <w:i/>
                  <w:iCs/>
                  <w:sz w:val="20"/>
                  <w:lang w:val="en-US" w:eastAsia="zh-CN"/>
                </w:rPr>
              </m:ctrlPr>
            </m:e>
            <m:sub>
              <m:r>
                <m:rPr/>
                <w:rPr>
                  <w:rFonts w:hint="default" w:ascii="Cambria Math" w:hAnsi="Cambria Math" w:eastAsia="宋体"/>
                  <w:sz w:val="20"/>
                  <w:lang w:val="en-US" w:eastAsia="zh-CN"/>
                </w:rPr>
                <m:t>dl</m:t>
              </m:r>
              <m:ctrlPr>
                <w:rPr>
                  <w:rFonts w:hint="default" w:ascii="Cambria Math" w:hAnsi="Cambria Math" w:eastAsia="宋体"/>
                  <w:i/>
                  <w:iCs/>
                  <w:sz w:val="20"/>
                  <w:lang w:val="en-US" w:eastAsia="zh-CN"/>
                </w:rPr>
              </m:ctrlPr>
            </m:sub>
          </m:sSub>
          <m:r>
            <m:rPr/>
            <w:rPr>
              <w:rFonts w:hint="default" w:ascii="Cambria Math" w:hAnsi="Cambria Math" w:eastAsia="宋体"/>
              <w:sz w:val="20"/>
              <w:lang w:val="en-US" w:eastAsia="zh-CN"/>
            </w:rPr>
            <m:t>=</m:t>
          </m:r>
          <m:sSub>
            <m:sSubPr>
              <m:ctrlPr>
                <w:rPr>
                  <w:rFonts w:hint="default" w:ascii="Cambria Math" w:hAnsi="Cambria Math" w:eastAsia="宋体"/>
                  <w:i/>
                  <w:iCs/>
                  <w:sz w:val="20"/>
                  <w:lang w:val="en-US" w:eastAsia="zh-CN"/>
                </w:rPr>
              </m:ctrlPr>
            </m:sSubPr>
            <m:e>
              <m:r>
                <m:rPr/>
                <w:rPr>
                  <w:rFonts w:hint="default" w:ascii="Cambria Math" w:hAnsi="Cambria Math" w:eastAsia="宋体"/>
                  <w:sz w:val="20"/>
                  <w:lang w:val="en-US" w:eastAsia="zh-CN"/>
                </w:rPr>
                <m:t>f</m:t>
              </m:r>
              <m:ctrlPr>
                <w:rPr>
                  <w:rFonts w:hint="default" w:ascii="Cambria Math" w:hAnsi="Cambria Math" w:eastAsia="宋体"/>
                  <w:i/>
                  <w:iCs/>
                  <w:sz w:val="20"/>
                  <w:lang w:val="en-US" w:eastAsia="zh-CN"/>
                </w:rPr>
              </m:ctrlPr>
            </m:e>
            <m:sub>
              <m:r>
                <m:rPr/>
                <w:rPr>
                  <w:rFonts w:hint="default" w:ascii="Cambria Math" w:hAnsi="Cambria Math" w:eastAsia="宋体"/>
                  <w:sz w:val="20"/>
                  <w:lang w:val="en-US" w:eastAsia="zh-CN"/>
                </w:rPr>
                <m:t>rx,dl</m:t>
              </m:r>
              <m:ctrlPr>
                <w:rPr>
                  <w:rFonts w:hint="default" w:ascii="Cambria Math" w:hAnsi="Cambria Math" w:eastAsia="宋体"/>
                  <w:i/>
                  <w:iCs/>
                  <w:sz w:val="20"/>
                  <w:lang w:val="en-US" w:eastAsia="zh-CN"/>
                </w:rPr>
              </m:ctrlPr>
            </m:sub>
          </m:sSub>
          <m:r>
            <m:rPr/>
            <w:rPr>
              <w:rFonts w:hint="default" w:ascii="Cambria Math" w:hAnsi="Cambria Math" w:eastAsia="宋体"/>
              <w:sz w:val="20"/>
              <w:lang w:val="en-US" w:eastAsia="zh-CN"/>
            </w:rPr>
            <m:t>−</m:t>
          </m:r>
          <m:sSub>
            <m:sSubPr>
              <m:ctrlPr>
                <w:rPr>
                  <w:rFonts w:hint="default" w:ascii="Cambria Math" w:hAnsi="Cambria Math" w:eastAsia="宋体"/>
                  <w:i/>
                  <w:iCs/>
                  <w:sz w:val="20"/>
                  <w:lang w:val="en-US" w:eastAsia="zh-CN"/>
                </w:rPr>
              </m:ctrlPr>
            </m:sSubPr>
            <m:e>
              <m:r>
                <m:rPr/>
                <w:rPr>
                  <w:rFonts w:hint="default" w:ascii="Cambria Math" w:hAnsi="Cambria Math" w:eastAsia="宋体"/>
                  <w:sz w:val="20"/>
                  <w:lang w:val="en-US" w:eastAsia="zh-CN"/>
                </w:rPr>
                <m:t>f</m:t>
              </m:r>
              <m:ctrlPr>
                <w:rPr>
                  <w:rFonts w:hint="default" w:ascii="Cambria Math" w:hAnsi="Cambria Math" w:eastAsia="宋体"/>
                  <w:i/>
                  <w:iCs/>
                  <w:sz w:val="20"/>
                  <w:lang w:val="en-US" w:eastAsia="zh-CN"/>
                </w:rPr>
              </m:ctrlPr>
            </m:e>
            <m:sub>
              <m:r>
                <m:rPr/>
                <w:rPr>
                  <w:rFonts w:hint="default" w:ascii="Cambria Math" w:hAnsi="Cambria Math" w:eastAsia="宋体"/>
                  <w:sz w:val="20"/>
                  <w:lang w:val="en-US" w:eastAsia="zh-CN"/>
                </w:rPr>
                <m:t>tx,dl</m:t>
              </m:r>
              <m:ctrlPr>
                <w:rPr>
                  <w:rFonts w:hint="default" w:ascii="Cambria Math" w:hAnsi="Cambria Math" w:eastAsia="宋体"/>
                  <w:i/>
                  <w:iCs/>
                  <w:sz w:val="20"/>
                  <w:lang w:val="en-US" w:eastAsia="zh-CN"/>
                </w:rPr>
              </m:ctrlPr>
            </m:sub>
          </m:sSub>
        </m:oMath>
      </m:oMathPara>
    </w:p>
    <w:p w14:paraId="680651FA">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Observation 1: It is feasible for NTN UE to estimate downlink frequency offset by calculating the difference between Rx frequency and Tx frequency of synchronization signal.</w:t>
      </w:r>
    </w:p>
    <w:p w14:paraId="04BF94D6">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The following discussion is about Tx frequency determination.</w:t>
      </w:r>
    </w:p>
    <w:p w14:paraId="33DA7496">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 xml:space="preserve">Frequency offset in NTN scenarios is illustrated in </w:t>
      </w:r>
      <w:r>
        <w:rPr>
          <w:rFonts w:hint="eastAsia" w:hAnsi="Cambria Math" w:eastAsia="宋体"/>
          <w:sz w:val="20"/>
          <w:lang w:val="en-US" w:eastAsia="zh-CN"/>
        </w:rPr>
        <w:fldChar w:fldCharType="begin"/>
      </w:r>
      <w:r>
        <w:rPr>
          <w:rFonts w:hint="eastAsia" w:hAnsi="Cambria Math" w:eastAsia="宋体"/>
          <w:sz w:val="20"/>
          <w:lang w:val="en-US" w:eastAsia="zh-CN"/>
        </w:rPr>
        <w:instrText xml:space="preserve"> REF _Ref19771 \h </w:instrText>
      </w:r>
      <w:r>
        <w:rPr>
          <w:rFonts w:hint="eastAsia" w:hAnsi="Cambria Math" w:eastAsia="宋体"/>
          <w:sz w:val="20"/>
          <w:lang w:val="en-US" w:eastAsia="zh-CN"/>
        </w:rPr>
        <w:fldChar w:fldCharType="separate"/>
      </w:r>
      <w:r>
        <w:t>Table 1</w:t>
      </w:r>
      <w:r>
        <w:rPr>
          <w:rFonts w:hint="eastAsia" w:hAnsi="Cambria Math" w:eastAsia="宋体"/>
          <w:sz w:val="20"/>
          <w:lang w:val="en-US" w:eastAsia="zh-CN"/>
        </w:rPr>
        <w:fldChar w:fldCharType="end"/>
      </w:r>
      <w:r>
        <w:rPr>
          <w:rFonts w:hint="eastAsia" w:hAnsi="Cambria Math" w:eastAsia="宋体"/>
          <w:sz w:val="20"/>
          <w:lang w:val="en-US" w:eastAsia="zh-CN"/>
        </w:rPr>
        <w:t xml:space="preserve"> if the velocity at UE side is assumed to be 0.  As per Table 5.4.3.1-1 and Table 5.4.3.1-2 in </w:t>
      </w:r>
      <w:r>
        <w:rPr>
          <w:rFonts w:hint="eastAsia" w:hAnsi="Cambria Math" w:eastAsia="宋体"/>
          <w:sz w:val="20"/>
          <w:lang w:val="en-US" w:eastAsia="zh-CN"/>
        </w:rPr>
        <w:fldChar w:fldCharType="begin"/>
      </w:r>
      <w:r>
        <w:rPr>
          <w:rFonts w:hint="eastAsia" w:hAnsi="Cambria Math" w:eastAsia="宋体"/>
          <w:sz w:val="20"/>
          <w:lang w:val="en-US" w:eastAsia="zh-CN"/>
        </w:rPr>
        <w:instrText xml:space="preserve"> REF _Ref20173 \n \h </w:instrText>
      </w:r>
      <w:r>
        <w:rPr>
          <w:rFonts w:hint="eastAsia" w:hAnsi="Cambria Math" w:eastAsia="宋体"/>
          <w:sz w:val="20"/>
          <w:lang w:val="en-US" w:eastAsia="zh-CN"/>
        </w:rPr>
        <w:fldChar w:fldCharType="separate"/>
      </w:r>
      <w:r>
        <w:rPr>
          <w:rFonts w:hint="eastAsia" w:hAnsi="Cambria Math" w:eastAsia="宋体"/>
          <w:sz w:val="20"/>
          <w:lang w:val="en-US" w:eastAsia="zh-CN"/>
        </w:rPr>
        <w:t>[1]</w:t>
      </w:r>
      <w:r>
        <w:rPr>
          <w:rFonts w:hint="eastAsia" w:hAnsi="Cambria Math" w:eastAsia="宋体"/>
          <w:sz w:val="20"/>
          <w:lang w:val="en-US" w:eastAsia="zh-CN"/>
        </w:rPr>
        <w:fldChar w:fldCharType="end"/>
      </w:r>
      <w:r>
        <w:rPr>
          <w:rFonts w:hint="eastAsia" w:hAnsi="Cambria Math" w:eastAsia="宋体"/>
          <w:sz w:val="20"/>
          <w:lang w:val="en-US" w:eastAsia="zh-CN"/>
        </w:rPr>
        <w:t xml:space="preserve">, the spacing of SSB frequency position is  100kHz or 1.4MHz in frequency rage 0-3000 or 3000-24250 MHz respectively. </w:t>
      </w:r>
    </w:p>
    <w:p w14:paraId="47904464">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Observation 2: The frequency offset in NTN radio link is comparable with the spacing of GSCN.</w:t>
      </w:r>
    </w:p>
    <w:p w14:paraId="28066B06">
      <w:pPr>
        <w:pStyle w:val="8"/>
        <w:jc w:val="center"/>
        <w:rPr>
          <w:rFonts w:hint="default" w:eastAsia="宋体"/>
          <w:lang w:val="en-US" w:eastAsia="zh-CN"/>
        </w:rPr>
      </w:pPr>
      <w:bookmarkStart w:id="6" w:name="_Ref19771"/>
      <w:r>
        <w:t xml:space="preserve">Table </w:t>
      </w:r>
      <w:r>
        <w:fldChar w:fldCharType="begin"/>
      </w:r>
      <w:r>
        <w:instrText xml:space="preserve"> SEQ Table \* ARABIC </w:instrText>
      </w:r>
      <w:r>
        <w:fldChar w:fldCharType="separate"/>
      </w:r>
      <w:r>
        <w:t>1</w:t>
      </w:r>
      <w:r>
        <w:fldChar w:fldCharType="end"/>
      </w:r>
      <w:bookmarkEnd w:id="6"/>
      <w:r>
        <w:rPr>
          <w:rFonts w:hint="eastAsia" w:eastAsia="宋体"/>
          <w:lang w:val="en-US" w:eastAsia="zh-CN"/>
        </w:rPr>
        <w:t xml:space="preserve"> Frequency Offset in NTN scenarios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2"/>
        <w:gridCol w:w="1380"/>
        <w:gridCol w:w="1328"/>
        <w:gridCol w:w="1684"/>
        <w:gridCol w:w="1525"/>
      </w:tblGrid>
      <w:tr w14:paraId="1C490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2" w:type="dxa"/>
          </w:tcPr>
          <w:p w14:paraId="00331D21">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Carrier Freq (MHz)</w:t>
            </w:r>
          </w:p>
        </w:tc>
        <w:tc>
          <w:tcPr>
            <w:tcW w:w="1380" w:type="dxa"/>
          </w:tcPr>
          <w:p w14:paraId="749A83F8">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Orbit Height (km)</w:t>
            </w:r>
          </w:p>
        </w:tc>
        <w:tc>
          <w:tcPr>
            <w:tcW w:w="1328" w:type="dxa"/>
          </w:tcPr>
          <w:p w14:paraId="33E63A1E">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Velocity (m/s)</w:t>
            </w:r>
          </w:p>
        </w:tc>
        <w:tc>
          <w:tcPr>
            <w:tcW w:w="1684" w:type="dxa"/>
          </w:tcPr>
          <w:p w14:paraId="2274D303">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UE Elevation (degree)</w:t>
            </w:r>
          </w:p>
        </w:tc>
        <w:tc>
          <w:tcPr>
            <w:tcW w:w="1525" w:type="dxa"/>
          </w:tcPr>
          <w:p w14:paraId="5D6C54C4">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Freq Offset (kHz)</w:t>
            </w:r>
          </w:p>
        </w:tc>
      </w:tr>
      <w:tr w14:paraId="6F86A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2" w:type="dxa"/>
            <w:vAlign w:val="top"/>
          </w:tcPr>
          <w:p w14:paraId="353C5A2D">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3000</w:t>
            </w:r>
          </w:p>
        </w:tc>
        <w:tc>
          <w:tcPr>
            <w:tcW w:w="1380" w:type="dxa"/>
          </w:tcPr>
          <w:p w14:paraId="51F52088">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600</w:t>
            </w:r>
          </w:p>
        </w:tc>
        <w:tc>
          <w:tcPr>
            <w:tcW w:w="1328" w:type="dxa"/>
          </w:tcPr>
          <w:p w14:paraId="50F390E3">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7562</w:t>
            </w:r>
          </w:p>
        </w:tc>
        <w:tc>
          <w:tcPr>
            <w:tcW w:w="1684" w:type="dxa"/>
          </w:tcPr>
          <w:p w14:paraId="5F07AF3D">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30</w:t>
            </w:r>
          </w:p>
        </w:tc>
        <w:tc>
          <w:tcPr>
            <w:tcW w:w="1525" w:type="dxa"/>
          </w:tcPr>
          <w:p w14:paraId="20603509">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65.49</w:t>
            </w:r>
          </w:p>
        </w:tc>
      </w:tr>
      <w:tr w14:paraId="2904B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2" w:type="dxa"/>
            <w:vAlign w:val="top"/>
          </w:tcPr>
          <w:p w14:paraId="346BF919">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24250</w:t>
            </w:r>
          </w:p>
        </w:tc>
        <w:tc>
          <w:tcPr>
            <w:tcW w:w="1380" w:type="dxa"/>
          </w:tcPr>
          <w:p w14:paraId="1CB66DAC">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600</w:t>
            </w:r>
          </w:p>
        </w:tc>
        <w:tc>
          <w:tcPr>
            <w:tcW w:w="1328" w:type="dxa"/>
          </w:tcPr>
          <w:p w14:paraId="31A4F8AE">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7562</w:t>
            </w:r>
          </w:p>
        </w:tc>
        <w:tc>
          <w:tcPr>
            <w:tcW w:w="1684" w:type="dxa"/>
          </w:tcPr>
          <w:p w14:paraId="687DEB30">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30</w:t>
            </w:r>
          </w:p>
        </w:tc>
        <w:tc>
          <w:tcPr>
            <w:tcW w:w="1525" w:type="dxa"/>
          </w:tcPr>
          <w:p w14:paraId="3382A837">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529.35</w:t>
            </w:r>
          </w:p>
        </w:tc>
      </w:tr>
      <w:tr w14:paraId="5EF05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2" w:type="dxa"/>
          </w:tcPr>
          <w:p w14:paraId="590169DF">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3000</w:t>
            </w:r>
          </w:p>
        </w:tc>
        <w:tc>
          <w:tcPr>
            <w:tcW w:w="1380" w:type="dxa"/>
          </w:tcPr>
          <w:p w14:paraId="5996637C">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300</w:t>
            </w:r>
          </w:p>
        </w:tc>
        <w:tc>
          <w:tcPr>
            <w:tcW w:w="1328" w:type="dxa"/>
          </w:tcPr>
          <w:p w14:paraId="07A5E4F9">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7730</w:t>
            </w:r>
          </w:p>
        </w:tc>
        <w:tc>
          <w:tcPr>
            <w:tcW w:w="1684" w:type="dxa"/>
          </w:tcPr>
          <w:p w14:paraId="6FD85C5E">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30</w:t>
            </w:r>
          </w:p>
        </w:tc>
        <w:tc>
          <w:tcPr>
            <w:tcW w:w="1525" w:type="dxa"/>
          </w:tcPr>
          <w:p w14:paraId="1F5CE261">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66.94</w:t>
            </w:r>
          </w:p>
        </w:tc>
      </w:tr>
      <w:tr w14:paraId="6B880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2" w:type="dxa"/>
          </w:tcPr>
          <w:p w14:paraId="2027A23B">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24250</w:t>
            </w:r>
          </w:p>
        </w:tc>
        <w:tc>
          <w:tcPr>
            <w:tcW w:w="1380" w:type="dxa"/>
          </w:tcPr>
          <w:p w14:paraId="0BFB8FFE">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300</w:t>
            </w:r>
          </w:p>
        </w:tc>
        <w:tc>
          <w:tcPr>
            <w:tcW w:w="1328" w:type="dxa"/>
          </w:tcPr>
          <w:p w14:paraId="0CAB1058">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7730</w:t>
            </w:r>
          </w:p>
        </w:tc>
        <w:tc>
          <w:tcPr>
            <w:tcW w:w="1684" w:type="dxa"/>
          </w:tcPr>
          <w:p w14:paraId="55FE605B">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30</w:t>
            </w:r>
          </w:p>
        </w:tc>
        <w:tc>
          <w:tcPr>
            <w:tcW w:w="1525" w:type="dxa"/>
          </w:tcPr>
          <w:p w14:paraId="0DD4CDCB">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541.12</w:t>
            </w:r>
          </w:p>
        </w:tc>
      </w:tr>
    </w:tbl>
    <w:p w14:paraId="5F874FC4">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Due to the presence of significant frequency offset, especially for NGSO satellite payload, the frequency at which SSB is detected may not necessarily correspond to the nearby GSCN frequency. To avoid frequency confusion, the NTN UE determines the actual frequency used for SSB transmission based on the network's indication information.</w:t>
      </w:r>
    </w:p>
    <w:p w14:paraId="4D8E1731">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Observation 3: An indication signaling of GSCN is necessary to avoid frequency confusion due to significant offset.</w:t>
      </w:r>
    </w:p>
    <w:p w14:paraId="38330DC9">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Proposal 1: A new IE should be introduced in SIB19 to indicate the corresponding GSCN.</w:t>
      </w:r>
    </w:p>
    <w:p w14:paraId="06517591">
      <w:pPr>
        <w:spacing w:before="120" w:beforeLines="50" w:after="120"/>
        <w:jc w:val="both"/>
        <w:rPr>
          <w:rFonts w:hint="default" w:hAnsi="Cambria Math" w:eastAsia="宋体"/>
          <w:sz w:val="20"/>
          <w:lang w:val="en-US" w:eastAsia="zh-CN"/>
        </w:rPr>
      </w:pPr>
      <w:r>
        <w:rPr>
          <w:rFonts w:hint="default" w:hAnsi="Cambria Math" w:eastAsia="宋体"/>
          <w:sz w:val="20"/>
          <w:lang w:val="en-US" w:eastAsia="zh-CN"/>
        </w:rPr>
        <w:t>Considering that</w:t>
      </w:r>
      <w:r>
        <w:rPr>
          <w:rFonts w:hint="eastAsia" w:hAnsi="Cambria Math" w:eastAsia="宋体"/>
          <w:sz w:val="20"/>
          <w:lang w:val="en-US" w:eastAsia="zh-CN"/>
        </w:rPr>
        <w:t xml:space="preserve"> the frequency offset caused by NTN radio link is limited, it may be unnecessary to provide the whole GSCN value. For example, even if UE is provided LSB of GSCN only, the DL transmission frequency can be still determined by finding the nearest one from Rx frequency which matches the indicated GSCN LSB. According to the typical frequency offset in </w:t>
      </w:r>
      <w:r>
        <w:rPr>
          <w:rFonts w:hint="eastAsia" w:hAnsi="Cambria Math" w:eastAsia="宋体"/>
          <w:sz w:val="20"/>
          <w:lang w:val="en-US" w:eastAsia="zh-CN"/>
        </w:rPr>
        <w:fldChar w:fldCharType="begin"/>
      </w:r>
      <w:r>
        <w:rPr>
          <w:rFonts w:hint="eastAsia" w:hAnsi="Cambria Math" w:eastAsia="宋体"/>
          <w:sz w:val="20"/>
          <w:lang w:val="en-US" w:eastAsia="zh-CN"/>
        </w:rPr>
        <w:instrText xml:space="preserve"> REF _Ref19771 \h </w:instrText>
      </w:r>
      <w:r>
        <w:rPr>
          <w:rFonts w:hint="eastAsia" w:hAnsi="Cambria Math" w:eastAsia="宋体"/>
          <w:sz w:val="20"/>
          <w:lang w:val="en-US" w:eastAsia="zh-CN"/>
        </w:rPr>
        <w:fldChar w:fldCharType="separate"/>
      </w:r>
      <w:r>
        <w:t>Table 1</w:t>
      </w:r>
      <w:r>
        <w:rPr>
          <w:rFonts w:hint="eastAsia" w:hAnsi="Cambria Math" w:eastAsia="宋体"/>
          <w:sz w:val="20"/>
          <w:lang w:val="en-US" w:eastAsia="zh-CN"/>
        </w:rPr>
        <w:fldChar w:fldCharType="end"/>
      </w:r>
      <w:r>
        <w:rPr>
          <w:rFonts w:hint="eastAsia" w:hAnsi="Cambria Math" w:eastAsia="宋体"/>
          <w:sz w:val="20"/>
          <w:lang w:val="en-US" w:eastAsia="zh-CN"/>
        </w:rPr>
        <w:t xml:space="preserve">, the offset may not exceed spacing of 2 continued GSCN. Therefore  2 LSB is enough for UE to determine GSCN. </w:t>
      </w:r>
    </w:p>
    <w:p w14:paraId="0A9CE247">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Proposal 2: The IE indicating frequency of SSB should provide at least 2 LSB of GSCN.</w:t>
      </w:r>
    </w:p>
    <w:p w14:paraId="01585E77">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If downlink frequency offset is known, the uplink frequency offset can be derived as per downlink and uplink carrier frequency.</w:t>
      </w:r>
    </w:p>
    <w:p w14:paraId="6664FD2D">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 xml:space="preserve">Observation 4: The uplink frequency offset can be derived from downlink frequency offset by the formula of </w:t>
      </w:r>
      <m:oMath>
        <m:r>
          <m:rPr>
            <m:sty m:val="bi"/>
          </m:rPr>
          <w:rPr>
            <w:rFonts w:hint="eastAsia" w:ascii="Cambria Math" w:hAnsi="Cambria Math" w:eastAsia="宋体"/>
            <w:sz w:val="20"/>
            <w:lang w:val="en-US" w:eastAsia="zh-CN"/>
          </w:rPr>
          <m:t>∆</m:t>
        </m:r>
        <m:sSub>
          <m:sSubPr>
            <m:ctrlPr>
              <w:rPr>
                <w:rFonts w:hint="default" w:ascii="Cambria Math" w:hAnsi="Cambria Math" w:eastAsia="宋体"/>
                <w:b/>
                <w:bCs/>
                <w:i/>
                <w:iCs/>
                <w:sz w:val="20"/>
                <w:lang w:val="en-US" w:eastAsia="zh-CN"/>
              </w:rPr>
            </m:ctrlPr>
          </m:sSubPr>
          <m:e>
            <m:r>
              <m:rPr>
                <m:sty m:val="bi"/>
              </m:rPr>
              <w:rPr>
                <w:rFonts w:hint="default" w:ascii="Cambria Math" w:hAnsi="Cambria Math" w:eastAsia="宋体"/>
                <w:sz w:val="20"/>
                <w:lang w:val="en-US" w:eastAsia="zh-CN"/>
              </w:rPr>
              <m:t>f</m:t>
            </m:r>
            <m:ctrlPr>
              <w:rPr>
                <w:rFonts w:hint="default" w:ascii="Cambria Math" w:hAnsi="Cambria Math" w:eastAsia="宋体"/>
                <w:b/>
                <w:bCs/>
                <w:i/>
                <w:iCs/>
                <w:sz w:val="20"/>
                <w:lang w:val="en-US" w:eastAsia="zh-CN"/>
              </w:rPr>
            </m:ctrlPr>
          </m:e>
          <m:sub>
            <m:r>
              <m:rPr>
                <m:sty m:val="bi"/>
              </m:rPr>
              <w:rPr>
                <w:rFonts w:hint="default" w:ascii="Cambria Math" w:hAnsi="Cambria Math" w:eastAsia="宋体"/>
                <w:sz w:val="20"/>
                <w:lang w:val="en-US" w:eastAsia="zh-CN"/>
              </w:rPr>
              <m:t>ul</m:t>
            </m:r>
            <m:ctrlPr>
              <w:rPr>
                <w:rFonts w:hint="default" w:ascii="Cambria Math" w:hAnsi="Cambria Math" w:eastAsia="宋体"/>
                <w:b/>
                <w:bCs/>
                <w:i/>
                <w:iCs/>
                <w:sz w:val="20"/>
                <w:lang w:val="en-US" w:eastAsia="zh-CN"/>
              </w:rPr>
            </m:ctrlPr>
          </m:sub>
        </m:sSub>
        <m:r>
          <m:rPr>
            <m:sty m:val="bi"/>
          </m:rPr>
          <w:rPr>
            <w:rFonts w:hint="default" w:ascii="Cambria Math" w:hAnsi="Cambria Math" w:eastAsia="宋体"/>
            <w:sz w:val="20"/>
            <w:lang w:val="en-US" w:eastAsia="zh-CN"/>
          </w:rPr>
          <m:t>=</m:t>
        </m:r>
        <m:r>
          <m:rPr>
            <m:sty m:val="bi"/>
          </m:rPr>
          <w:rPr>
            <w:rFonts w:hint="eastAsia" w:ascii="Cambria Math" w:hAnsi="Cambria Math" w:eastAsia="宋体"/>
            <w:sz w:val="20"/>
            <w:lang w:val="en-US" w:eastAsia="zh-CN"/>
          </w:rPr>
          <m:t>∆</m:t>
        </m:r>
        <m:sSub>
          <m:sSubPr>
            <m:ctrlPr>
              <w:rPr>
                <w:rFonts w:hint="default" w:ascii="Cambria Math" w:hAnsi="Cambria Math" w:eastAsia="宋体"/>
                <w:b/>
                <w:bCs/>
                <w:i/>
                <w:iCs/>
                <w:sz w:val="20"/>
                <w:lang w:val="en-US" w:eastAsia="zh-CN"/>
              </w:rPr>
            </m:ctrlPr>
          </m:sSubPr>
          <m:e>
            <m:r>
              <m:rPr>
                <m:sty m:val="bi"/>
              </m:rPr>
              <w:rPr>
                <w:rFonts w:hint="default" w:ascii="Cambria Math" w:hAnsi="Cambria Math" w:eastAsia="宋体"/>
                <w:sz w:val="20"/>
                <w:lang w:val="en-US" w:eastAsia="zh-CN"/>
              </w:rPr>
              <m:t>f</m:t>
            </m:r>
            <m:ctrlPr>
              <w:rPr>
                <w:rFonts w:hint="default" w:ascii="Cambria Math" w:hAnsi="Cambria Math" w:eastAsia="宋体"/>
                <w:b/>
                <w:bCs/>
                <w:i/>
                <w:iCs/>
                <w:sz w:val="20"/>
                <w:lang w:val="en-US" w:eastAsia="zh-CN"/>
              </w:rPr>
            </m:ctrlPr>
          </m:e>
          <m:sub>
            <m:r>
              <m:rPr>
                <m:sty m:val="bi"/>
              </m:rPr>
              <w:rPr>
                <w:rFonts w:hint="default" w:ascii="Cambria Math" w:hAnsi="Cambria Math" w:eastAsia="宋体"/>
                <w:sz w:val="20"/>
                <w:lang w:val="en-US" w:eastAsia="zh-CN"/>
              </w:rPr>
              <m:t>dl</m:t>
            </m:r>
            <m:ctrlPr>
              <w:rPr>
                <w:rFonts w:hint="default" w:ascii="Cambria Math" w:hAnsi="Cambria Math" w:eastAsia="宋体"/>
                <w:b/>
                <w:bCs/>
                <w:i/>
                <w:iCs/>
                <w:sz w:val="20"/>
                <w:lang w:val="en-US" w:eastAsia="zh-CN"/>
              </w:rPr>
            </m:ctrlPr>
          </m:sub>
        </m:sSub>
        <m:r>
          <m:rPr>
            <m:sty m:val="bi"/>
          </m:rPr>
          <w:rPr>
            <w:rFonts w:hint="default" w:ascii="Cambria Math" w:hAnsi="Cambria Math" w:eastAsia="宋体"/>
            <w:sz w:val="20"/>
            <w:lang w:val="en-US" w:eastAsia="zh-CN"/>
          </w:rPr>
          <m:t>∙(</m:t>
        </m:r>
        <m:sSub>
          <m:sSubPr>
            <m:ctrlPr>
              <w:rPr>
                <w:rFonts w:hint="default" w:ascii="Cambria Math" w:hAnsi="Cambria Math" w:eastAsia="宋体"/>
                <w:b/>
                <w:bCs/>
                <w:i/>
                <w:iCs/>
                <w:sz w:val="20"/>
                <w:lang w:val="en-US" w:eastAsia="zh-CN"/>
              </w:rPr>
            </m:ctrlPr>
          </m:sSubPr>
          <m:e>
            <m:r>
              <m:rPr>
                <m:sty m:val="bi"/>
              </m:rPr>
              <w:rPr>
                <w:rFonts w:hint="default" w:ascii="Cambria Math" w:hAnsi="Cambria Math" w:eastAsia="宋体"/>
                <w:sz w:val="20"/>
                <w:lang w:val="en-US" w:eastAsia="zh-CN"/>
              </w:rPr>
              <m:t>f</m:t>
            </m:r>
            <m:ctrlPr>
              <w:rPr>
                <w:rFonts w:hint="default" w:ascii="Cambria Math" w:hAnsi="Cambria Math" w:eastAsia="宋体"/>
                <w:b/>
                <w:bCs/>
                <w:i/>
                <w:iCs/>
                <w:sz w:val="20"/>
                <w:lang w:val="en-US" w:eastAsia="zh-CN"/>
              </w:rPr>
            </m:ctrlPr>
          </m:e>
          <m:sub>
            <m:r>
              <m:rPr>
                <m:sty m:val="bi"/>
              </m:rPr>
              <w:rPr>
                <w:rFonts w:hint="default" w:ascii="Cambria Math" w:hAnsi="Cambria Math" w:eastAsia="宋体"/>
                <w:sz w:val="20"/>
                <w:lang w:val="en-US" w:eastAsia="zh-CN"/>
              </w:rPr>
              <m:t>ul</m:t>
            </m:r>
            <m:ctrlPr>
              <w:rPr>
                <w:rFonts w:hint="default" w:ascii="Cambria Math" w:hAnsi="Cambria Math" w:eastAsia="宋体"/>
                <w:b/>
                <w:bCs/>
                <w:i/>
                <w:iCs/>
                <w:sz w:val="20"/>
                <w:lang w:val="en-US" w:eastAsia="zh-CN"/>
              </w:rPr>
            </m:ctrlPr>
          </m:sub>
        </m:sSub>
        <m:r>
          <m:rPr>
            <m:sty m:val="bi"/>
          </m:rPr>
          <w:rPr>
            <w:rFonts w:hint="default" w:ascii="Cambria Math" w:hAnsi="Cambria Math" w:eastAsia="宋体"/>
            <w:sz w:val="20"/>
            <w:lang w:val="en-US" w:eastAsia="zh-CN"/>
          </w:rPr>
          <m:t>/</m:t>
        </m:r>
        <m:sSub>
          <m:sSubPr>
            <m:ctrlPr>
              <w:rPr>
                <w:rFonts w:hint="default" w:ascii="Cambria Math" w:hAnsi="Cambria Math" w:eastAsia="宋体"/>
                <w:b/>
                <w:bCs/>
                <w:i/>
                <w:iCs/>
                <w:sz w:val="20"/>
                <w:lang w:val="en-US" w:eastAsia="zh-CN"/>
              </w:rPr>
            </m:ctrlPr>
          </m:sSubPr>
          <m:e>
            <m:r>
              <m:rPr>
                <m:sty m:val="bi"/>
              </m:rPr>
              <w:rPr>
                <w:rFonts w:hint="default" w:ascii="Cambria Math" w:hAnsi="Cambria Math" w:eastAsia="宋体"/>
                <w:sz w:val="20"/>
                <w:lang w:val="en-US" w:eastAsia="zh-CN"/>
              </w:rPr>
              <m:t>f</m:t>
            </m:r>
            <m:ctrlPr>
              <w:rPr>
                <w:rFonts w:hint="default" w:ascii="Cambria Math" w:hAnsi="Cambria Math" w:eastAsia="宋体"/>
                <w:b/>
                <w:bCs/>
                <w:i/>
                <w:iCs/>
                <w:sz w:val="20"/>
                <w:lang w:val="en-US" w:eastAsia="zh-CN"/>
              </w:rPr>
            </m:ctrlPr>
          </m:e>
          <m:sub>
            <m:r>
              <m:rPr>
                <m:sty m:val="bi"/>
              </m:rPr>
              <w:rPr>
                <w:rFonts w:hint="default" w:ascii="Cambria Math" w:hAnsi="Cambria Math" w:eastAsia="宋体"/>
                <w:sz w:val="20"/>
                <w:lang w:val="en-US" w:eastAsia="zh-CN"/>
              </w:rPr>
              <m:t>dl</m:t>
            </m:r>
            <m:ctrlPr>
              <w:rPr>
                <w:rFonts w:hint="default" w:ascii="Cambria Math" w:hAnsi="Cambria Math" w:eastAsia="宋体"/>
                <w:b/>
                <w:bCs/>
                <w:i/>
                <w:iCs/>
                <w:sz w:val="20"/>
                <w:lang w:val="en-US" w:eastAsia="zh-CN"/>
              </w:rPr>
            </m:ctrlPr>
          </m:sub>
        </m:sSub>
        <m:r>
          <m:rPr>
            <m:sty m:val="bi"/>
          </m:rPr>
          <w:rPr>
            <w:rFonts w:hint="default" w:ascii="Cambria Math" w:hAnsi="Cambria Math" w:eastAsia="宋体"/>
            <w:sz w:val="20"/>
            <w:lang w:val="en-US" w:eastAsia="zh-CN"/>
          </w:rPr>
          <m:t>)</m:t>
        </m:r>
      </m:oMath>
      <w:r>
        <w:rPr>
          <w:rFonts w:hint="eastAsia" w:hAnsi="Cambria Math" w:eastAsia="宋体"/>
          <w:b/>
          <w:bCs/>
          <w:i/>
          <w:iCs/>
          <w:sz w:val="20"/>
          <w:lang w:val="en-US" w:eastAsia="zh-CN"/>
        </w:rPr>
        <w:t>.</w:t>
      </w:r>
    </w:p>
    <w:p w14:paraId="371B39C8">
      <w:pPr>
        <w:pStyle w:val="4"/>
        <w:numPr>
          <w:ilvl w:val="1"/>
          <w:numId w:val="5"/>
        </w:numPr>
        <w:bidi w:val="0"/>
        <w:rPr>
          <w:rFonts w:hint="default"/>
          <w:lang w:val="en-US" w:eastAsia="zh-CN"/>
        </w:rPr>
      </w:pPr>
      <w:r>
        <w:rPr>
          <w:rFonts w:hint="eastAsia"/>
          <w:lang w:val="en-US" w:eastAsia="zh-CN"/>
        </w:rPr>
        <w:t>Propagation delay estimation</w:t>
      </w:r>
    </w:p>
    <w:p w14:paraId="52CA86DA">
      <w:pPr>
        <w:spacing w:before="120" w:beforeLines="50" w:after="120"/>
        <w:jc w:val="both"/>
        <w:rPr>
          <w:rFonts w:hint="default" w:hAnsi="Cambria Math" w:eastAsia="宋体"/>
          <w:sz w:val="20"/>
          <w:lang w:val="en-US" w:eastAsia="zh-CN"/>
        </w:rPr>
      </w:pPr>
      <w:r>
        <w:rPr>
          <w:rFonts w:hint="default" w:hAnsi="Cambria Math" w:eastAsia="宋体"/>
          <w:sz w:val="20"/>
          <w:lang w:val="en-US" w:eastAsia="zh-CN"/>
        </w:rPr>
        <w:t>The following mechanism shall be applied</w:t>
      </w:r>
      <w:r>
        <w:rPr>
          <w:rFonts w:hint="eastAsia" w:hAnsi="Cambria Math" w:eastAsia="宋体"/>
          <w:sz w:val="20"/>
          <w:lang w:val="en-US" w:eastAsia="zh-CN"/>
        </w:rPr>
        <w:t xml:space="preserve"> in downlink processing for delay estimation.</w:t>
      </w:r>
    </w:p>
    <w:p w14:paraId="03198AA5">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There are 2 situations to be considered:</w:t>
      </w:r>
    </w:p>
    <w:p w14:paraId="579FEB93">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 xml:space="preserve">Case 1, the local time in UE is </w:t>
      </w:r>
      <w:r>
        <w:rPr>
          <w:rFonts w:hint="default" w:hAnsi="Cambria Math" w:eastAsia="宋体"/>
          <w:sz w:val="20"/>
          <w:lang w:eastAsia="zh-CN"/>
        </w:rPr>
        <w:t>available</w:t>
      </w:r>
      <w:r>
        <w:rPr>
          <w:rFonts w:hint="eastAsia" w:hAnsi="Cambria Math" w:eastAsia="宋体"/>
          <w:sz w:val="20"/>
          <w:lang w:val="en-US" w:eastAsia="zh-CN"/>
        </w:rPr>
        <w:t>, i.e. the clock of UE was synchronized with network or GNSS no long before.</w:t>
      </w:r>
    </w:p>
    <w:p w14:paraId="2DEF9D1E">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 xml:space="preserve">Case 2, the local time in UE is </w:t>
      </w:r>
      <w:r>
        <w:rPr>
          <w:rFonts w:hint="default" w:hAnsi="Cambria Math" w:eastAsia="宋体"/>
          <w:sz w:val="20"/>
          <w:lang w:eastAsia="zh-CN"/>
        </w:rPr>
        <w:t>unavailable</w:t>
      </w:r>
      <w:r>
        <w:rPr>
          <w:rFonts w:hint="eastAsia" w:hAnsi="Cambria Math" w:eastAsia="宋体"/>
          <w:sz w:val="20"/>
          <w:lang w:val="en-US" w:eastAsia="zh-CN"/>
        </w:rPr>
        <w:t>, i.e. the clock of UE is never synchronized or not synchronized for long time.</w:t>
      </w:r>
    </w:p>
    <w:p w14:paraId="4342B64A">
      <w:pPr>
        <w:spacing w:before="120" w:beforeLines="50" w:after="120"/>
        <w:jc w:val="both"/>
        <w:rPr>
          <w:rFonts w:hint="eastAsia" w:hAnsi="Cambria Math" w:eastAsia="宋体"/>
          <w:sz w:val="20"/>
          <w:lang w:val="en-US" w:eastAsia="zh-CN"/>
        </w:rPr>
      </w:pPr>
    </w:p>
    <w:p w14:paraId="5C602590">
      <w:pPr>
        <w:spacing w:before="120" w:beforeLines="50" w:after="120"/>
        <w:jc w:val="both"/>
        <w:rPr>
          <w:rFonts w:hint="default" w:hAnsi="Cambria Math" w:eastAsia="宋体"/>
          <w:sz w:val="20"/>
          <w:lang w:val="en-US" w:eastAsia="zh-CN"/>
        </w:rPr>
      </w:pPr>
      <w:r>
        <w:rPr>
          <w:rFonts w:hint="eastAsia" w:hAnsi="Cambria Math" w:eastAsia="宋体"/>
          <w:sz w:val="20"/>
          <w:lang w:val="en-US" w:eastAsia="zh-CN"/>
        </w:rPr>
        <w:t>In Case 1, the downlink signal arriving time is available for delay estimation. If the transmission time is known, UE is able to estimate the delay by calculating the time difference.</w:t>
      </w:r>
    </w:p>
    <w:p w14:paraId="0D955684">
      <w:pPr>
        <w:spacing w:before="120" w:beforeLines="50" w:after="120"/>
        <w:jc w:val="both"/>
        <w:rPr>
          <w:rFonts w:hint="eastAsia" w:hAnsi="Cambria Math" w:eastAsia="宋体"/>
          <w:sz w:val="20"/>
          <w:lang w:val="en-US" w:eastAsia="zh-CN"/>
        </w:rPr>
      </w:pPr>
      <w:r>
        <w:rPr>
          <w:rFonts w:hint="eastAsia" w:hAnsi="Cambria Math" w:eastAsia="宋体"/>
          <w:b/>
          <w:bCs/>
          <w:i/>
          <w:iCs/>
          <w:sz w:val="20"/>
          <w:lang w:val="en-US" w:eastAsia="zh-CN"/>
        </w:rPr>
        <w:t>Observation 5: It is feasible for NTN UE to estimate propagation delay by calculating the difference between arrival time and transmission time of specific slot if local time in UE is synchronized to global time.</w:t>
      </w:r>
    </w:p>
    <w:p w14:paraId="46E7717D">
      <w:pPr>
        <w:spacing w:before="120" w:beforeLines="50" w:after="120"/>
        <w:jc w:val="both"/>
        <w:rPr>
          <w:rFonts w:hint="default" w:hAnsi="Cambria Math" w:eastAsia="宋体"/>
          <w:sz w:val="20"/>
          <w:lang w:val="en-US" w:eastAsia="zh-CN"/>
        </w:rPr>
      </w:pPr>
      <w:r>
        <w:rPr>
          <w:rFonts w:hint="default" w:hAnsi="Cambria Math" w:eastAsia="宋体"/>
          <w:sz w:val="20"/>
          <w:lang w:eastAsia="zh-CN"/>
        </w:rPr>
        <w:t>The approach  to assist delay estimation is to introduce a new IE indicating Tx timing reference in SIB. The timing reference should be related to a spe</w:t>
      </w:r>
      <w:r>
        <w:rPr>
          <w:rFonts w:hint="eastAsia" w:hAnsi="Cambria Math" w:eastAsia="宋体"/>
          <w:sz w:val="20"/>
          <w:lang w:val="en-US" w:eastAsia="zh-CN"/>
        </w:rPr>
        <w:t>cific time point such as the beginning of the latest radio frame with SFN#0. Then the propagation delay can be estimated by calculating the difference time between arrival and transmission.</w:t>
      </w:r>
    </w:p>
    <w:p w14:paraId="34045862">
      <w:pPr>
        <w:spacing w:before="120" w:beforeLines="50" w:after="120"/>
        <w:jc w:val="center"/>
        <w:rPr>
          <w:rFonts w:ascii="宋体" w:hAnsi="宋体" w:eastAsia="宋体" w:cs="宋体"/>
          <w:sz w:val="24"/>
          <w:szCs w:val="24"/>
        </w:rPr>
      </w:pPr>
      <w:r>
        <w:rPr>
          <w:rFonts w:ascii="宋体" w:hAnsi="宋体" w:eastAsia="宋体" w:cs="宋体"/>
          <w:sz w:val="24"/>
          <w:szCs w:val="24"/>
        </w:rPr>
        <w:drawing>
          <wp:inline distT="0" distB="0" distL="114300" distR="114300">
            <wp:extent cx="4770120" cy="130619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4770120" cy="1306195"/>
                    </a:xfrm>
                    <a:prstGeom prst="rect">
                      <a:avLst/>
                    </a:prstGeom>
                    <a:noFill/>
                    <a:ln w="9525">
                      <a:noFill/>
                    </a:ln>
                  </pic:spPr>
                </pic:pic>
              </a:graphicData>
            </a:graphic>
          </wp:inline>
        </w:drawing>
      </w:r>
    </w:p>
    <w:p w14:paraId="133A56B6">
      <w:pPr>
        <w:pStyle w:val="8"/>
        <w:spacing w:before="120" w:beforeLines="50" w:after="120"/>
        <w:jc w:val="center"/>
        <w:rPr>
          <w:rFonts w:hint="default" w:ascii="宋体" w:hAnsi="宋体" w:eastAsia="宋体" w:cs="宋体"/>
          <w:sz w:val="24"/>
          <w:szCs w:val="24"/>
          <w:lang w:val="en-US" w:eastAsia="zh-CN"/>
        </w:rPr>
      </w:pPr>
      <w:r>
        <w:t xml:space="preserve">Figure </w:t>
      </w:r>
      <w:r>
        <w:fldChar w:fldCharType="begin"/>
      </w:r>
      <w:r>
        <w:instrText xml:space="preserve"> SEQ Figure \* ARABIC </w:instrText>
      </w:r>
      <w:r>
        <w:fldChar w:fldCharType="separate"/>
      </w:r>
      <w:r>
        <w:t>1</w:t>
      </w:r>
      <w:r>
        <w:fldChar w:fldCharType="end"/>
      </w:r>
      <w:r>
        <w:rPr>
          <w:rFonts w:hint="eastAsia" w:eastAsia="宋体"/>
          <w:lang w:val="en-US" w:eastAsia="zh-CN"/>
        </w:rPr>
        <w:t xml:space="preserve"> Time Reference in SIB19</w:t>
      </w:r>
    </w:p>
    <w:p w14:paraId="3C78C883">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 xml:space="preserve">Proposal 3: A new IE indicating Tx timing reference should be introduced in SIB19 to assist delay estimation in UE. </w:t>
      </w:r>
    </w:p>
    <w:p w14:paraId="735D00D4">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4: The IE indicating Tx timing reference can denote a specific time point such as the beginning of the latest radio frame with SFN#0.</w:t>
      </w:r>
    </w:p>
    <w:p w14:paraId="3917199D">
      <w:pPr>
        <w:spacing w:before="120" w:beforeLines="50" w:after="120"/>
        <w:jc w:val="both"/>
        <w:rPr>
          <w:rFonts w:hint="eastAsia" w:hAnsi="Cambria Math" w:eastAsia="宋体"/>
          <w:sz w:val="20"/>
          <w:lang w:val="en-US" w:eastAsia="zh-CN"/>
        </w:rPr>
      </w:pPr>
    </w:p>
    <w:p w14:paraId="71F84834">
      <w:pPr>
        <w:spacing w:before="120" w:beforeLines="50" w:after="120"/>
        <w:jc w:val="both"/>
        <w:rPr>
          <w:rFonts w:hint="default" w:hAnsi="Cambria Math" w:eastAsia="宋体"/>
          <w:sz w:val="20"/>
          <w:lang w:val="en-US" w:eastAsia="zh-CN"/>
        </w:rPr>
      </w:pPr>
      <w:r>
        <w:rPr>
          <w:rFonts w:hint="eastAsia" w:hAnsi="Cambria Math" w:eastAsia="宋体"/>
          <w:sz w:val="20"/>
          <w:lang w:val="en-US" w:eastAsia="zh-CN"/>
        </w:rPr>
        <w:t>In Case 2, the downlink signal arriving time is unavailable for delay estimation. The delay estimation depends on the implementation of UE.</w:t>
      </w:r>
    </w:p>
    <w:p w14:paraId="198A8108">
      <w:pPr>
        <w:spacing w:before="120" w:beforeLines="50" w:after="120"/>
        <w:jc w:val="both"/>
        <w:rPr>
          <w:rFonts w:hint="default" w:hAnsi="Cambria Math" w:eastAsia="宋体"/>
          <w:sz w:val="20"/>
          <w:lang w:val="en-US" w:eastAsia="zh-CN"/>
        </w:rPr>
      </w:pPr>
      <w:r>
        <w:rPr>
          <w:rFonts w:hint="eastAsia" w:hAnsi="Cambria Math" w:eastAsia="宋体"/>
          <w:sz w:val="20"/>
          <w:lang w:val="en-US" w:eastAsia="zh-CN"/>
        </w:rPr>
        <w:t xml:space="preserve">A potential solution is that UE makes a coarse delay estimation based on the reference location and tries random access with pre-compensated TA according to coarse estimation. </w:t>
      </w:r>
    </w:p>
    <w:p w14:paraId="24694B16">
      <w:pPr>
        <w:spacing w:before="120" w:beforeLines="50" w:after="120"/>
        <w:jc w:val="both"/>
        <w:rPr>
          <w:rFonts w:hint="default" w:hAnsi="Cambria Math" w:eastAsia="宋体"/>
          <w:sz w:val="20"/>
          <w:lang w:val="en-US" w:eastAsia="zh-CN"/>
        </w:rPr>
      </w:pPr>
      <w:r>
        <w:rPr>
          <w:rFonts w:hint="eastAsia" w:hAnsi="Cambria Math" w:eastAsia="宋体"/>
          <w:sz w:val="20"/>
          <w:lang w:val="en-US" w:eastAsia="zh-CN"/>
        </w:rPr>
        <w:t>In SIB19, the IE referenceLocation denotes the reference location for mobility measurement in (quasi-)fixed cell, and the IE movingReferenceLocation denotes the reference location for mobility measurement in moving cell. They both can be used as the position of UE approximately. The approximate position can be utilized for Satellite-UE distance calculation and then delay estimation. As per the coarse delay estimation, UE can try to perform random access with pre-compensated TA. The fine TA can be achieved when RA succeeds. If the RA fails, UE can adjust the  pre-compensated TA for another trial, till RA success.</w:t>
      </w:r>
    </w:p>
    <w:p w14:paraId="4B1B0850">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Proposal 5: The delay estimation depends on the implementation of UE if local time in UE is not synchronized to global time.</w:t>
      </w:r>
    </w:p>
    <w:p w14:paraId="6BE3A01D">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Observation 6: If local time in UE is not synchronized to global time, a potential solution for delay estimation  is that UE makes a coarse delay estimation based on the reference location in SIB and tries random access with  pre-compensated TA according to coarse delay estimation.</w:t>
      </w:r>
    </w:p>
    <w:p w14:paraId="133F3E81">
      <w:pPr>
        <w:pStyle w:val="4"/>
        <w:numPr>
          <w:ilvl w:val="1"/>
          <w:numId w:val="5"/>
        </w:numPr>
        <w:bidi w:val="0"/>
        <w:rPr>
          <w:rFonts w:hint="eastAsia"/>
          <w:lang w:val="en-US" w:eastAsia="zh-CN"/>
        </w:rPr>
      </w:pPr>
      <w:r>
        <w:rPr>
          <w:rFonts w:hint="eastAsia"/>
          <w:lang w:val="en-US" w:eastAsia="zh-CN"/>
        </w:rPr>
        <w:t>Impact to measurement</w:t>
      </w:r>
    </w:p>
    <w:p w14:paraId="3597FEA5">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The following measurement reporting events based on positioning from GNSS, such as Event D1, Event D2, CondEvent D1 and CondEvent D2, are not applicable when GNSS is unavailable.</w:t>
      </w:r>
    </w:p>
    <w:p w14:paraId="77851EE5">
      <w:pPr>
        <w:spacing w:before="120" w:beforeLines="50" w:after="120"/>
        <w:jc w:val="both"/>
        <w:rPr>
          <w:rFonts w:hint="default" w:hAnsi="Cambria Math" w:eastAsia="宋体"/>
          <w:sz w:val="20"/>
          <w:lang w:val="en-US" w:eastAsia="zh-CN"/>
        </w:rPr>
      </w:pPr>
      <w:r>
        <w:rPr>
          <w:rFonts w:hint="eastAsia" w:hAnsi="Cambria Math" w:eastAsia="宋体"/>
          <w:sz w:val="20"/>
          <w:lang w:val="en-US" w:eastAsia="zh-CN"/>
        </w:rPr>
        <w:t xml:space="preserve">Based on the information of GNSS availability from UE, the network can decide whether to configure mobility measurement related to GNSS position. </w:t>
      </w:r>
    </w:p>
    <w:p w14:paraId="03A191E9">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 xml:space="preserve">Observation 7: A GNSS availability from UE can assist network for adjusting measurement configuration related to GNSS position. </w:t>
      </w:r>
    </w:p>
    <w:p w14:paraId="7BF185B8">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Proposal 6: It is FFS whether a signaling indicating GNSS availability should be introduced.</w:t>
      </w:r>
    </w:p>
    <w:p w14:paraId="2786EB66">
      <w:pPr>
        <w:spacing w:before="120" w:beforeLines="50" w:after="120"/>
        <w:jc w:val="both"/>
        <w:rPr>
          <w:rFonts w:hint="default" w:hAnsi="Cambria Math" w:eastAsia="宋体"/>
          <w:sz w:val="20"/>
          <w:lang w:val="en-US" w:eastAsia="zh-CN"/>
        </w:rPr>
      </w:pPr>
    </w:p>
    <w:bookmarkEnd w:id="4"/>
    <w:bookmarkEnd w:id="5"/>
    <w:p w14:paraId="2B55703B">
      <w:pPr>
        <w:pStyle w:val="2"/>
        <w:keepLines/>
        <w:numPr>
          <w:ilvl w:val="0"/>
          <w:numId w:val="5"/>
        </w:numPr>
        <w:pBdr>
          <w:top w:val="single" w:color="auto" w:sz="12" w:space="3"/>
        </w:pBdr>
        <w:overflowPunct w:val="0"/>
        <w:autoSpaceDE w:val="0"/>
        <w:autoSpaceDN w:val="0"/>
        <w:adjustRightInd w:val="0"/>
        <w:spacing w:after="180"/>
        <w:textAlignment w:val="baseline"/>
        <w:rPr>
          <w:rFonts w:ascii="Arial" w:hAnsi="Arial" w:eastAsia="宋体" w:cs="Times New Roman"/>
          <w:b w:val="0"/>
          <w:bCs w:val="0"/>
          <w:kern w:val="0"/>
          <w:sz w:val="36"/>
          <w:szCs w:val="20"/>
          <w:lang w:val="fr-FR" w:eastAsia="zh-CN"/>
        </w:rPr>
      </w:pPr>
      <w:r>
        <w:rPr>
          <w:rFonts w:hint="eastAsia" w:ascii="Arial" w:hAnsi="Arial" w:eastAsia="宋体" w:cs="Times New Roman"/>
          <w:b w:val="0"/>
          <w:bCs w:val="0"/>
          <w:kern w:val="0"/>
          <w:sz w:val="36"/>
          <w:szCs w:val="20"/>
          <w:lang w:val="fr-FR" w:eastAsia="zh-CN"/>
        </w:rPr>
        <w:t>Conclusion</w:t>
      </w:r>
    </w:p>
    <w:p w14:paraId="07BF4601">
      <w:pPr>
        <w:spacing w:before="120" w:beforeLines="50" w:after="120"/>
        <w:jc w:val="both"/>
        <w:rPr>
          <w:rFonts w:hAnsi="Cambria Math" w:eastAsia="宋体"/>
          <w:sz w:val="20"/>
          <w:lang w:eastAsia="zh-CN"/>
        </w:rPr>
      </w:pPr>
      <w:r>
        <w:rPr>
          <w:rFonts w:hAnsi="Cambria Math" w:eastAsia="宋体"/>
          <w:sz w:val="20"/>
          <w:lang w:eastAsia="zh-CN"/>
        </w:rPr>
        <w:t xml:space="preserve">In this contribution, we provide our views on the support of </w:t>
      </w:r>
      <w:r>
        <w:rPr>
          <w:rFonts w:hint="eastAsia" w:hAnsi="Cambria Math" w:eastAsia="宋体"/>
          <w:sz w:val="20"/>
          <w:lang w:eastAsia="zh-CN"/>
        </w:rPr>
        <w:t>NR-NTN GNSS resilience</w:t>
      </w:r>
      <w:r>
        <w:rPr>
          <w:rFonts w:hAnsi="Cambria Math" w:eastAsia="宋体"/>
          <w:sz w:val="20"/>
          <w:lang w:eastAsia="zh-CN"/>
        </w:rPr>
        <w:t>. According to the discussions, we have the following observations and proposals:</w:t>
      </w:r>
    </w:p>
    <w:p w14:paraId="2BEB4856">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Observation 1: It is feasible for NTN UE to estimate downlink frequency offset by calculating the difference between Rx frequency and Tx frequency of synchronization signal.</w:t>
      </w:r>
    </w:p>
    <w:p w14:paraId="74C93D6E">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Observation 2: The frequency offset in NTN radio link is comparable with the spacing of GSCN.</w:t>
      </w:r>
    </w:p>
    <w:p w14:paraId="662A3199">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Observation 3: An indication signaling of GSCN is necessary to avoid frequency confusion due to significant offset.</w:t>
      </w:r>
    </w:p>
    <w:p w14:paraId="72468298">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Proposal 1: A new IE should be introduced in SIB19 to indicate the corresponding GSCN.</w:t>
      </w:r>
    </w:p>
    <w:p w14:paraId="21F248E4">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Proposal 2: The IE indicating frequency of SSB should provide at least 2 LSB of GSCN.</w:t>
      </w:r>
    </w:p>
    <w:p w14:paraId="6F25FE3B">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 xml:space="preserve">Observation 4: The uplink frequency offset can be derived from downlink frequency offset by the formula of </w:t>
      </w:r>
      <m:oMath>
        <m:r>
          <m:rPr>
            <m:sty m:val="bi"/>
          </m:rPr>
          <w:rPr>
            <w:rFonts w:hint="eastAsia" w:ascii="Cambria Math" w:hAnsi="Cambria Math" w:eastAsia="宋体"/>
            <w:sz w:val="20"/>
            <w:lang w:val="en-US" w:eastAsia="zh-CN"/>
          </w:rPr>
          <m:t>∆</m:t>
        </m:r>
        <m:sSub>
          <m:sSubPr>
            <m:ctrlPr>
              <w:rPr>
                <w:rFonts w:hint="default" w:ascii="Cambria Math" w:hAnsi="Cambria Math" w:eastAsia="宋体"/>
                <w:b/>
                <w:bCs/>
                <w:i/>
                <w:iCs/>
                <w:sz w:val="20"/>
                <w:lang w:val="en-US" w:eastAsia="zh-CN"/>
              </w:rPr>
            </m:ctrlPr>
          </m:sSubPr>
          <m:e>
            <m:r>
              <m:rPr>
                <m:sty m:val="bi"/>
              </m:rPr>
              <w:rPr>
                <w:rFonts w:hint="default" w:ascii="Cambria Math" w:hAnsi="Cambria Math" w:eastAsia="宋体"/>
                <w:sz w:val="20"/>
                <w:lang w:val="en-US" w:eastAsia="zh-CN"/>
              </w:rPr>
              <m:t>f</m:t>
            </m:r>
            <m:ctrlPr>
              <w:rPr>
                <w:rFonts w:hint="default" w:ascii="Cambria Math" w:hAnsi="Cambria Math" w:eastAsia="宋体"/>
                <w:b/>
                <w:bCs/>
                <w:i/>
                <w:iCs/>
                <w:sz w:val="20"/>
                <w:lang w:val="en-US" w:eastAsia="zh-CN"/>
              </w:rPr>
            </m:ctrlPr>
          </m:e>
          <m:sub>
            <m:r>
              <m:rPr>
                <m:sty m:val="bi"/>
              </m:rPr>
              <w:rPr>
                <w:rFonts w:hint="default" w:ascii="Cambria Math" w:hAnsi="Cambria Math" w:eastAsia="宋体"/>
                <w:sz w:val="20"/>
                <w:lang w:val="en-US" w:eastAsia="zh-CN"/>
              </w:rPr>
              <m:t>ul</m:t>
            </m:r>
            <m:ctrlPr>
              <w:rPr>
                <w:rFonts w:hint="default" w:ascii="Cambria Math" w:hAnsi="Cambria Math" w:eastAsia="宋体"/>
                <w:b/>
                <w:bCs/>
                <w:i/>
                <w:iCs/>
                <w:sz w:val="20"/>
                <w:lang w:val="en-US" w:eastAsia="zh-CN"/>
              </w:rPr>
            </m:ctrlPr>
          </m:sub>
        </m:sSub>
        <m:r>
          <m:rPr>
            <m:sty m:val="bi"/>
          </m:rPr>
          <w:rPr>
            <w:rFonts w:hint="default" w:ascii="Cambria Math" w:hAnsi="Cambria Math" w:eastAsia="宋体"/>
            <w:sz w:val="20"/>
            <w:lang w:val="en-US" w:eastAsia="zh-CN"/>
          </w:rPr>
          <m:t>=</m:t>
        </m:r>
        <m:r>
          <m:rPr>
            <m:sty m:val="bi"/>
          </m:rPr>
          <w:rPr>
            <w:rFonts w:hint="eastAsia" w:ascii="Cambria Math" w:hAnsi="Cambria Math" w:eastAsia="宋体"/>
            <w:sz w:val="20"/>
            <w:lang w:val="en-US" w:eastAsia="zh-CN"/>
          </w:rPr>
          <m:t>∆</m:t>
        </m:r>
        <m:sSub>
          <m:sSubPr>
            <m:ctrlPr>
              <w:rPr>
                <w:rFonts w:hint="default" w:ascii="Cambria Math" w:hAnsi="Cambria Math" w:eastAsia="宋体"/>
                <w:b/>
                <w:bCs/>
                <w:i/>
                <w:iCs/>
                <w:sz w:val="20"/>
                <w:lang w:val="en-US" w:eastAsia="zh-CN"/>
              </w:rPr>
            </m:ctrlPr>
          </m:sSubPr>
          <m:e>
            <m:r>
              <m:rPr>
                <m:sty m:val="bi"/>
              </m:rPr>
              <w:rPr>
                <w:rFonts w:hint="default" w:ascii="Cambria Math" w:hAnsi="Cambria Math" w:eastAsia="宋体"/>
                <w:sz w:val="20"/>
                <w:lang w:val="en-US" w:eastAsia="zh-CN"/>
              </w:rPr>
              <m:t>f</m:t>
            </m:r>
            <m:ctrlPr>
              <w:rPr>
                <w:rFonts w:hint="default" w:ascii="Cambria Math" w:hAnsi="Cambria Math" w:eastAsia="宋体"/>
                <w:b/>
                <w:bCs/>
                <w:i/>
                <w:iCs/>
                <w:sz w:val="20"/>
                <w:lang w:val="en-US" w:eastAsia="zh-CN"/>
              </w:rPr>
            </m:ctrlPr>
          </m:e>
          <m:sub>
            <m:r>
              <m:rPr>
                <m:sty m:val="bi"/>
              </m:rPr>
              <w:rPr>
                <w:rFonts w:hint="default" w:ascii="Cambria Math" w:hAnsi="Cambria Math" w:eastAsia="宋体"/>
                <w:sz w:val="20"/>
                <w:lang w:val="en-US" w:eastAsia="zh-CN"/>
              </w:rPr>
              <m:t>dl</m:t>
            </m:r>
            <m:ctrlPr>
              <w:rPr>
                <w:rFonts w:hint="default" w:ascii="Cambria Math" w:hAnsi="Cambria Math" w:eastAsia="宋体"/>
                <w:b/>
                <w:bCs/>
                <w:i/>
                <w:iCs/>
                <w:sz w:val="20"/>
                <w:lang w:val="en-US" w:eastAsia="zh-CN"/>
              </w:rPr>
            </m:ctrlPr>
          </m:sub>
        </m:sSub>
        <m:r>
          <m:rPr>
            <m:sty m:val="bi"/>
          </m:rPr>
          <w:rPr>
            <w:rFonts w:hint="default" w:ascii="Cambria Math" w:hAnsi="Cambria Math" w:eastAsia="宋体"/>
            <w:sz w:val="20"/>
            <w:lang w:val="en-US" w:eastAsia="zh-CN"/>
          </w:rPr>
          <m:t>∙(</m:t>
        </m:r>
        <m:sSub>
          <m:sSubPr>
            <m:ctrlPr>
              <w:rPr>
                <w:rFonts w:hint="default" w:ascii="Cambria Math" w:hAnsi="Cambria Math" w:eastAsia="宋体"/>
                <w:b/>
                <w:bCs/>
                <w:i/>
                <w:iCs/>
                <w:sz w:val="20"/>
                <w:lang w:val="en-US" w:eastAsia="zh-CN"/>
              </w:rPr>
            </m:ctrlPr>
          </m:sSubPr>
          <m:e>
            <m:r>
              <m:rPr>
                <m:sty m:val="bi"/>
              </m:rPr>
              <w:rPr>
                <w:rFonts w:hint="default" w:ascii="Cambria Math" w:hAnsi="Cambria Math" w:eastAsia="宋体"/>
                <w:sz w:val="20"/>
                <w:lang w:val="en-US" w:eastAsia="zh-CN"/>
              </w:rPr>
              <m:t>f</m:t>
            </m:r>
            <m:ctrlPr>
              <w:rPr>
                <w:rFonts w:hint="default" w:ascii="Cambria Math" w:hAnsi="Cambria Math" w:eastAsia="宋体"/>
                <w:b/>
                <w:bCs/>
                <w:i/>
                <w:iCs/>
                <w:sz w:val="20"/>
                <w:lang w:val="en-US" w:eastAsia="zh-CN"/>
              </w:rPr>
            </m:ctrlPr>
          </m:e>
          <m:sub>
            <m:r>
              <m:rPr>
                <m:sty m:val="bi"/>
              </m:rPr>
              <w:rPr>
                <w:rFonts w:hint="default" w:ascii="Cambria Math" w:hAnsi="Cambria Math" w:eastAsia="宋体"/>
                <w:sz w:val="20"/>
                <w:lang w:val="en-US" w:eastAsia="zh-CN"/>
              </w:rPr>
              <m:t>ul</m:t>
            </m:r>
            <m:ctrlPr>
              <w:rPr>
                <w:rFonts w:hint="default" w:ascii="Cambria Math" w:hAnsi="Cambria Math" w:eastAsia="宋体"/>
                <w:b/>
                <w:bCs/>
                <w:i/>
                <w:iCs/>
                <w:sz w:val="20"/>
                <w:lang w:val="en-US" w:eastAsia="zh-CN"/>
              </w:rPr>
            </m:ctrlPr>
          </m:sub>
        </m:sSub>
        <m:r>
          <m:rPr>
            <m:sty m:val="bi"/>
          </m:rPr>
          <w:rPr>
            <w:rFonts w:hint="default" w:ascii="Cambria Math" w:hAnsi="Cambria Math" w:eastAsia="宋体"/>
            <w:sz w:val="20"/>
            <w:lang w:val="en-US" w:eastAsia="zh-CN"/>
          </w:rPr>
          <m:t>/</m:t>
        </m:r>
        <m:sSub>
          <m:sSubPr>
            <m:ctrlPr>
              <w:rPr>
                <w:rFonts w:hint="default" w:ascii="Cambria Math" w:hAnsi="Cambria Math" w:eastAsia="宋体"/>
                <w:b/>
                <w:bCs/>
                <w:i/>
                <w:iCs/>
                <w:sz w:val="20"/>
                <w:lang w:val="en-US" w:eastAsia="zh-CN"/>
              </w:rPr>
            </m:ctrlPr>
          </m:sSubPr>
          <m:e>
            <m:r>
              <m:rPr>
                <m:sty m:val="bi"/>
              </m:rPr>
              <w:rPr>
                <w:rFonts w:hint="default" w:ascii="Cambria Math" w:hAnsi="Cambria Math" w:eastAsia="宋体"/>
                <w:sz w:val="20"/>
                <w:lang w:val="en-US" w:eastAsia="zh-CN"/>
              </w:rPr>
              <m:t>f</m:t>
            </m:r>
            <m:ctrlPr>
              <w:rPr>
                <w:rFonts w:hint="default" w:ascii="Cambria Math" w:hAnsi="Cambria Math" w:eastAsia="宋体"/>
                <w:b/>
                <w:bCs/>
                <w:i/>
                <w:iCs/>
                <w:sz w:val="20"/>
                <w:lang w:val="en-US" w:eastAsia="zh-CN"/>
              </w:rPr>
            </m:ctrlPr>
          </m:e>
          <m:sub>
            <m:r>
              <m:rPr>
                <m:sty m:val="bi"/>
              </m:rPr>
              <w:rPr>
                <w:rFonts w:hint="default" w:ascii="Cambria Math" w:hAnsi="Cambria Math" w:eastAsia="宋体"/>
                <w:sz w:val="20"/>
                <w:lang w:val="en-US" w:eastAsia="zh-CN"/>
              </w:rPr>
              <m:t>dl</m:t>
            </m:r>
            <m:ctrlPr>
              <w:rPr>
                <w:rFonts w:hint="default" w:ascii="Cambria Math" w:hAnsi="Cambria Math" w:eastAsia="宋体"/>
                <w:b/>
                <w:bCs/>
                <w:i/>
                <w:iCs/>
                <w:sz w:val="20"/>
                <w:lang w:val="en-US" w:eastAsia="zh-CN"/>
              </w:rPr>
            </m:ctrlPr>
          </m:sub>
        </m:sSub>
        <m:r>
          <m:rPr>
            <m:sty m:val="bi"/>
          </m:rPr>
          <w:rPr>
            <w:rFonts w:hint="default" w:ascii="Cambria Math" w:hAnsi="Cambria Math" w:eastAsia="宋体"/>
            <w:sz w:val="20"/>
            <w:lang w:val="en-US" w:eastAsia="zh-CN"/>
          </w:rPr>
          <m:t>)</m:t>
        </m:r>
      </m:oMath>
      <w:r>
        <w:rPr>
          <w:rFonts w:hint="eastAsia" w:hAnsi="Cambria Math" w:eastAsia="宋体"/>
          <w:b/>
          <w:bCs/>
          <w:i/>
          <w:iCs/>
          <w:sz w:val="20"/>
          <w:lang w:val="en-US" w:eastAsia="zh-CN"/>
        </w:rPr>
        <w:t>.</w:t>
      </w:r>
    </w:p>
    <w:p w14:paraId="7093F2E5">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Observation 5: It is feasible for NTN UE to estimate propagation delay by calculating the difference between arrival time and transmission time of specific slot if local time in UE is synchronized to global time.</w:t>
      </w:r>
    </w:p>
    <w:p w14:paraId="27150943">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 xml:space="preserve">Proposal 3: A new IE indicating Tx timing reference should be introduced in SIB19 to assist delay estimation in UE. </w:t>
      </w:r>
    </w:p>
    <w:p w14:paraId="2CA01EE8">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4: The IE indicating Tx timing reference can denote a specific time point such as the beginning of the latest radio frame with SFN#0.</w:t>
      </w:r>
    </w:p>
    <w:p w14:paraId="0D01C4F1">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Proposal 5: The delay estimation depends on the implementation of UE if local time in UE is not synchronized to global time.</w:t>
      </w:r>
    </w:p>
    <w:p w14:paraId="1A97472D">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Observation 6: If local time in UE is not synchronized to global time, a potential solution for delay estimation  is that UE makes a coarse delay estimation based on the reference location in SIB and tries random access with  pre-compensated TA according to coarse delay</w:t>
      </w:r>
      <w:bookmarkStart w:id="12" w:name="_GoBack"/>
      <w:bookmarkEnd w:id="12"/>
      <w:r>
        <w:rPr>
          <w:rFonts w:hint="eastAsia" w:hAnsi="Cambria Math" w:eastAsia="宋体"/>
          <w:b/>
          <w:bCs/>
          <w:i/>
          <w:iCs/>
          <w:sz w:val="20"/>
          <w:lang w:val="en-US" w:eastAsia="zh-CN"/>
        </w:rPr>
        <w:t xml:space="preserve"> estimation.</w:t>
      </w:r>
    </w:p>
    <w:p w14:paraId="7B04DB25">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 xml:space="preserve">Observation 7: A GNSS availability from UE can assist network for adjusting measurement configuration related to GNSS position. </w:t>
      </w:r>
    </w:p>
    <w:p w14:paraId="2827C28B">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Proposal 6: It is FFS whether a signaling indicating GNSS availability should be introduced.</w:t>
      </w:r>
    </w:p>
    <w:p w14:paraId="5E0FBBAD">
      <w:pPr>
        <w:spacing w:before="120" w:beforeLines="50" w:after="120"/>
        <w:jc w:val="both"/>
        <w:rPr>
          <w:rFonts w:hint="eastAsia" w:hAnsi="Cambria Math" w:eastAsia="宋体"/>
          <w:b/>
          <w:bCs/>
          <w:i/>
          <w:iCs/>
          <w:sz w:val="20"/>
          <w:lang w:val="en-US" w:eastAsia="zh-CN"/>
        </w:rPr>
      </w:pPr>
    </w:p>
    <w:bookmarkEnd w:id="2"/>
    <w:bookmarkEnd w:id="3"/>
    <w:p w14:paraId="5B040AA2">
      <w:pPr>
        <w:pStyle w:val="2"/>
        <w:keepLines/>
        <w:numPr>
          <w:ilvl w:val="0"/>
          <w:numId w:val="5"/>
        </w:numPr>
        <w:pBdr>
          <w:top w:val="single" w:color="auto" w:sz="12" w:space="3"/>
        </w:pBdr>
        <w:overflowPunct w:val="0"/>
        <w:autoSpaceDE w:val="0"/>
        <w:autoSpaceDN w:val="0"/>
        <w:adjustRightInd w:val="0"/>
        <w:spacing w:after="180"/>
        <w:textAlignment w:val="baseline"/>
        <w:rPr>
          <w:rFonts w:ascii="Arial" w:hAnsi="Arial" w:eastAsia="宋体" w:cs="Times New Roman"/>
          <w:b w:val="0"/>
          <w:bCs w:val="0"/>
          <w:kern w:val="0"/>
          <w:sz w:val="36"/>
          <w:szCs w:val="20"/>
          <w:lang w:val="fr-FR" w:eastAsia="zh-CN"/>
        </w:rPr>
      </w:pPr>
      <w:bookmarkStart w:id="7" w:name="_Ref503565490"/>
      <w:bookmarkStart w:id="8" w:name="_Ref493791948"/>
      <w:bookmarkStart w:id="9" w:name="_Ref510367705"/>
      <w:bookmarkStart w:id="10" w:name="_Ref503565531"/>
      <w:r>
        <w:rPr>
          <w:rFonts w:ascii="Arial" w:hAnsi="Arial" w:eastAsia="宋体" w:cs="Times New Roman"/>
          <w:b w:val="0"/>
          <w:bCs w:val="0"/>
          <w:kern w:val="0"/>
          <w:sz w:val="36"/>
          <w:szCs w:val="20"/>
          <w:lang w:val="fr-FR" w:eastAsia="zh-CN"/>
        </w:rPr>
        <w:t>Reference</w:t>
      </w:r>
    </w:p>
    <w:bookmarkEnd w:id="7"/>
    <w:bookmarkEnd w:id="8"/>
    <w:bookmarkEnd w:id="9"/>
    <w:bookmarkEnd w:id="10"/>
    <w:p w14:paraId="243B11B2">
      <w:pPr>
        <w:pStyle w:val="3"/>
        <w:numPr>
          <w:ilvl w:val="0"/>
          <w:numId w:val="10"/>
        </w:numPr>
        <w:spacing w:after="0"/>
        <w:rPr>
          <w:rFonts w:eastAsiaTheme="minorEastAsia"/>
          <w:lang w:eastAsia="zh-CN"/>
        </w:rPr>
      </w:pPr>
      <w:bookmarkStart w:id="11" w:name="_Ref20173"/>
      <w:r>
        <w:rPr>
          <w:rFonts w:hint="eastAsia" w:eastAsiaTheme="minorEastAsia"/>
          <w:lang w:eastAsia="zh-CN"/>
        </w:rPr>
        <w:t>TS 38.108</w:t>
      </w:r>
      <w:r>
        <w:rPr>
          <w:rFonts w:hint="eastAsia" w:eastAsiaTheme="minorEastAsia"/>
          <w:lang w:val="en-US" w:eastAsia="zh-CN"/>
        </w:rPr>
        <w:t xml:space="preserve"> NR; Satellite Access Node radio transmission and reception</w:t>
      </w:r>
      <w:bookmarkEnd w:id="11"/>
    </w:p>
    <w:sectPr>
      <w:footerReference r:id="rId3" w:type="default"/>
      <w:pgSz w:w="11909" w:h="16834"/>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B006D">
    <w:pPr>
      <w:pStyle w:val="15"/>
      <w:jc w:val="center"/>
    </w:pPr>
    <w:r>
      <w:rPr>
        <w:rStyle w:val="29"/>
      </w:rPr>
      <w:fldChar w:fldCharType="begin"/>
    </w:r>
    <w:r>
      <w:rPr>
        <w:rStyle w:val="29"/>
      </w:rPr>
      <w:instrText xml:space="preserve"> PAGE </w:instrText>
    </w:r>
    <w:r>
      <w:rPr>
        <w:rStyle w:val="29"/>
      </w:rPr>
      <w:fldChar w:fldCharType="separate"/>
    </w:r>
    <w:r>
      <w:rPr>
        <w:rStyle w:val="29"/>
      </w:rPr>
      <w:t>4</w:t>
    </w:r>
    <w:r>
      <w:rPr>
        <w:rStyle w:val="29"/>
      </w:rPr>
      <w:fldChar w:fldCharType="end"/>
    </w:r>
    <w:r>
      <w:rPr>
        <w:rStyle w:val="29"/>
        <w:rFonts w:hint="eastAsia" w:eastAsia="宋体"/>
        <w:lang w:eastAsia="zh-CN"/>
      </w:rPr>
      <w:t>/</w:t>
    </w:r>
    <w:r>
      <w:rPr>
        <w:rStyle w:val="29"/>
      </w:rPr>
      <w:fldChar w:fldCharType="begin"/>
    </w:r>
    <w:r>
      <w:rPr>
        <w:rStyle w:val="29"/>
      </w:rPr>
      <w:instrText xml:space="preserve"> NUMPAGES </w:instrText>
    </w:r>
    <w:r>
      <w:rPr>
        <w:rStyle w:val="29"/>
      </w:rPr>
      <w:fldChar w:fldCharType="separate"/>
    </w:r>
    <w:r>
      <w:rPr>
        <w:rStyle w:val="29"/>
      </w:rPr>
      <w:t>6</w:t>
    </w:r>
    <w:r>
      <w:rPr>
        <w:rStyle w:val="29"/>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11"/>
      <w:lvlText w:val="%1."/>
      <w:lvlJc w:val="left"/>
      <w:pPr>
        <w:tabs>
          <w:tab w:val="left" w:pos="488"/>
        </w:tabs>
        <w:ind w:left="488" w:hanging="360"/>
      </w:pPr>
    </w:lvl>
  </w:abstractNum>
  <w:abstractNum w:abstractNumId="1">
    <w:nsid w:val="12200B9C"/>
    <w:multiLevelType w:val="multilevel"/>
    <w:tmpl w:val="12200B9C"/>
    <w:lvl w:ilvl="0" w:tentative="0">
      <w:start w:val="1"/>
      <w:numFmt w:val="decimal"/>
      <w:pStyle w:val="5"/>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
    <w:nsid w:val="450B7309"/>
    <w:multiLevelType w:val="multilevel"/>
    <w:tmpl w:val="450B73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99D297B"/>
    <w:multiLevelType w:val="multilevel"/>
    <w:tmpl w:val="599D297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F1912B1"/>
    <w:multiLevelType w:val="multilevel"/>
    <w:tmpl w:val="5F1912B1"/>
    <w:lvl w:ilvl="0" w:tentative="0">
      <w:start w:val="1"/>
      <w:numFmt w:val="bullet"/>
      <w:pStyle w:val="101"/>
      <w:lvlText w:val=""/>
      <w:lvlJc w:val="left"/>
      <w:pPr>
        <w:ind w:left="720" w:hanging="360"/>
      </w:pPr>
      <w:rPr>
        <w:rFonts w:hint="default" w:ascii="Symbol" w:hAnsi="Symbol"/>
      </w:rPr>
    </w:lvl>
    <w:lvl w:ilvl="1" w:tentative="0">
      <w:start w:val="1"/>
      <w:numFmt w:val="bullet"/>
      <w:pStyle w:val="102"/>
      <w:lvlText w:val="o"/>
      <w:lvlJc w:val="left"/>
      <w:pPr>
        <w:ind w:left="1440" w:hanging="360"/>
      </w:pPr>
      <w:rPr>
        <w:rFonts w:hint="default" w:ascii="Courier New" w:hAnsi="Courier New" w:cs="Courier New"/>
      </w:rPr>
    </w:lvl>
    <w:lvl w:ilvl="2" w:tentative="0">
      <w:start w:val="1"/>
      <w:numFmt w:val="bullet"/>
      <w:pStyle w:val="103"/>
      <w:lvlText w:val=""/>
      <w:lvlJc w:val="left"/>
      <w:pPr>
        <w:ind w:left="2160" w:hanging="360"/>
      </w:pPr>
      <w:rPr>
        <w:rFonts w:hint="default" w:ascii="Wingdings" w:hAnsi="Wingdings"/>
      </w:rPr>
    </w:lvl>
    <w:lvl w:ilvl="3" w:tentative="0">
      <w:start w:val="1"/>
      <w:numFmt w:val="bullet"/>
      <w:pStyle w:val="10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A616052"/>
    <w:multiLevelType w:val="multilevel"/>
    <w:tmpl w:val="6A6160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D6C0433"/>
    <w:multiLevelType w:val="multilevel"/>
    <w:tmpl w:val="6D6C0433"/>
    <w:lvl w:ilvl="0" w:tentative="0">
      <w:start w:val="1"/>
      <w:numFmt w:val="decimal"/>
      <w:lvlText w:val="%1."/>
      <w:lvlJc w:val="left"/>
      <w:pPr>
        <w:tabs>
          <w:tab w:val="left" w:pos="425"/>
        </w:tabs>
        <w:ind w:left="425" w:hanging="425"/>
      </w:pPr>
      <w:rPr>
        <w:lang w:val="en-US"/>
      </w:rPr>
    </w:lvl>
    <w:lvl w:ilvl="1" w:tentative="0">
      <w:start w:val="1"/>
      <w:numFmt w:val="decimal"/>
      <w:lvlText w:val="%1.%2."/>
      <w:lvlJc w:val="left"/>
      <w:pPr>
        <w:tabs>
          <w:tab w:val="left" w:pos="567"/>
        </w:tabs>
        <w:ind w:left="567" w:hanging="567"/>
      </w:pPr>
    </w:lvl>
    <w:lvl w:ilvl="2" w:tentative="0">
      <w:start w:val="1"/>
      <w:numFmt w:val="decimal"/>
      <w:pStyle w:val="94"/>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7">
    <w:nsid w:val="7BC330F5"/>
    <w:multiLevelType w:val="multilevel"/>
    <w:tmpl w:val="7BC330F5"/>
    <w:lvl w:ilvl="0" w:tentative="0">
      <w:start w:val="1"/>
      <w:numFmt w:val="bullet"/>
      <w:pStyle w:val="6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ED18BC"/>
    <w:multiLevelType w:val="multilevel"/>
    <w:tmpl w:val="7BED18BC"/>
    <w:lvl w:ilvl="0" w:tentative="0">
      <w:start w:val="1"/>
      <w:numFmt w:val="decimal"/>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1247"/>
        </w:tabs>
        <w:ind w:left="1304" w:hanging="1304"/>
      </w:pPr>
      <w:rPr>
        <w:rFonts w:hint="default"/>
        <w:i w:val="0"/>
        <w:iCs/>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abstractNum w:abstractNumId="9">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8"/>
  </w:num>
  <w:num w:numId="3">
    <w:abstractNumId w:val="0"/>
  </w:num>
  <w:num w:numId="4">
    <w:abstractNumId w:val="7"/>
  </w:num>
  <w:num w:numId="5">
    <w:abstractNumId w:val="6"/>
  </w:num>
  <w:num w:numId="6">
    <w:abstractNumId w:val="4"/>
  </w:num>
  <w:num w:numId="7">
    <w:abstractNumId w:val="5"/>
  </w:num>
  <w:num w:numId="8">
    <w:abstractNumId w:val="3"/>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C4A"/>
    <w:rsid w:val="0000187C"/>
    <w:rsid w:val="000021CC"/>
    <w:rsid w:val="00002728"/>
    <w:rsid w:val="0000279E"/>
    <w:rsid w:val="000029F4"/>
    <w:rsid w:val="00002E3C"/>
    <w:rsid w:val="000030A3"/>
    <w:rsid w:val="00003824"/>
    <w:rsid w:val="00004B9A"/>
    <w:rsid w:val="00004DD6"/>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B19"/>
    <w:rsid w:val="00013CC3"/>
    <w:rsid w:val="00013F70"/>
    <w:rsid w:val="0001420B"/>
    <w:rsid w:val="00014224"/>
    <w:rsid w:val="00014788"/>
    <w:rsid w:val="0001480C"/>
    <w:rsid w:val="00014CEC"/>
    <w:rsid w:val="000153ED"/>
    <w:rsid w:val="00015497"/>
    <w:rsid w:val="000155AD"/>
    <w:rsid w:val="000158A9"/>
    <w:rsid w:val="00015F97"/>
    <w:rsid w:val="000160F6"/>
    <w:rsid w:val="00017461"/>
    <w:rsid w:val="00017714"/>
    <w:rsid w:val="00017755"/>
    <w:rsid w:val="00017F21"/>
    <w:rsid w:val="00020721"/>
    <w:rsid w:val="000209A5"/>
    <w:rsid w:val="00021E82"/>
    <w:rsid w:val="00022CB4"/>
    <w:rsid w:val="000231E8"/>
    <w:rsid w:val="00023365"/>
    <w:rsid w:val="00023B90"/>
    <w:rsid w:val="0002462D"/>
    <w:rsid w:val="00024A15"/>
    <w:rsid w:val="00024BE9"/>
    <w:rsid w:val="00025BE5"/>
    <w:rsid w:val="00025FDD"/>
    <w:rsid w:val="0002643F"/>
    <w:rsid w:val="00026EBA"/>
    <w:rsid w:val="000271FD"/>
    <w:rsid w:val="000273FD"/>
    <w:rsid w:val="0002784B"/>
    <w:rsid w:val="0002786A"/>
    <w:rsid w:val="00027AEB"/>
    <w:rsid w:val="00027F4D"/>
    <w:rsid w:val="00031146"/>
    <w:rsid w:val="000317C0"/>
    <w:rsid w:val="00031D6B"/>
    <w:rsid w:val="0003266C"/>
    <w:rsid w:val="00032766"/>
    <w:rsid w:val="00032856"/>
    <w:rsid w:val="00032BE2"/>
    <w:rsid w:val="00033303"/>
    <w:rsid w:val="00033599"/>
    <w:rsid w:val="00033692"/>
    <w:rsid w:val="000339AC"/>
    <w:rsid w:val="00033B21"/>
    <w:rsid w:val="00034348"/>
    <w:rsid w:val="00034714"/>
    <w:rsid w:val="00034757"/>
    <w:rsid w:val="00034B6B"/>
    <w:rsid w:val="00034FE3"/>
    <w:rsid w:val="00035F00"/>
    <w:rsid w:val="000364D0"/>
    <w:rsid w:val="00036B4E"/>
    <w:rsid w:val="00036D44"/>
    <w:rsid w:val="00037587"/>
    <w:rsid w:val="000376AB"/>
    <w:rsid w:val="000377D9"/>
    <w:rsid w:val="00037CEC"/>
    <w:rsid w:val="00037D5A"/>
    <w:rsid w:val="0004051F"/>
    <w:rsid w:val="000408EC"/>
    <w:rsid w:val="00040A23"/>
    <w:rsid w:val="00040AAE"/>
    <w:rsid w:val="00041699"/>
    <w:rsid w:val="0004245B"/>
    <w:rsid w:val="000429F4"/>
    <w:rsid w:val="0004373B"/>
    <w:rsid w:val="00043816"/>
    <w:rsid w:val="0004413E"/>
    <w:rsid w:val="00044FAD"/>
    <w:rsid w:val="0004500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78C"/>
    <w:rsid w:val="00053DF5"/>
    <w:rsid w:val="00054360"/>
    <w:rsid w:val="000543CD"/>
    <w:rsid w:val="00054A38"/>
    <w:rsid w:val="00054B4F"/>
    <w:rsid w:val="00054CC1"/>
    <w:rsid w:val="0005513F"/>
    <w:rsid w:val="00055951"/>
    <w:rsid w:val="00055ACB"/>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1F01"/>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E24"/>
    <w:rsid w:val="00084EA5"/>
    <w:rsid w:val="000855F8"/>
    <w:rsid w:val="00085868"/>
    <w:rsid w:val="00086BD7"/>
    <w:rsid w:val="00086E20"/>
    <w:rsid w:val="00086FC6"/>
    <w:rsid w:val="00087058"/>
    <w:rsid w:val="0008716F"/>
    <w:rsid w:val="00087467"/>
    <w:rsid w:val="00087B64"/>
    <w:rsid w:val="00087B7F"/>
    <w:rsid w:val="00087FBD"/>
    <w:rsid w:val="000906C5"/>
    <w:rsid w:val="00090796"/>
    <w:rsid w:val="0009083C"/>
    <w:rsid w:val="00090EB9"/>
    <w:rsid w:val="00090F10"/>
    <w:rsid w:val="0009211E"/>
    <w:rsid w:val="0009407C"/>
    <w:rsid w:val="00095318"/>
    <w:rsid w:val="000958B4"/>
    <w:rsid w:val="00095BBB"/>
    <w:rsid w:val="000965A1"/>
    <w:rsid w:val="000969C4"/>
    <w:rsid w:val="00096DAC"/>
    <w:rsid w:val="00097534"/>
    <w:rsid w:val="000A051C"/>
    <w:rsid w:val="000A05CD"/>
    <w:rsid w:val="000A18B2"/>
    <w:rsid w:val="000A1963"/>
    <w:rsid w:val="000A1B4B"/>
    <w:rsid w:val="000A276E"/>
    <w:rsid w:val="000A3C92"/>
    <w:rsid w:val="000A435C"/>
    <w:rsid w:val="000A4B1A"/>
    <w:rsid w:val="000A5466"/>
    <w:rsid w:val="000A5D12"/>
    <w:rsid w:val="000A5D42"/>
    <w:rsid w:val="000A5D74"/>
    <w:rsid w:val="000A6249"/>
    <w:rsid w:val="000A64B4"/>
    <w:rsid w:val="000A64CB"/>
    <w:rsid w:val="000A66F1"/>
    <w:rsid w:val="000A6D59"/>
    <w:rsid w:val="000A7080"/>
    <w:rsid w:val="000A7506"/>
    <w:rsid w:val="000A7AEF"/>
    <w:rsid w:val="000A7DA8"/>
    <w:rsid w:val="000B01B5"/>
    <w:rsid w:val="000B0281"/>
    <w:rsid w:val="000B0335"/>
    <w:rsid w:val="000B07CC"/>
    <w:rsid w:val="000B0A0C"/>
    <w:rsid w:val="000B0B02"/>
    <w:rsid w:val="000B287D"/>
    <w:rsid w:val="000B2D7C"/>
    <w:rsid w:val="000B31CF"/>
    <w:rsid w:val="000B3739"/>
    <w:rsid w:val="000B38DF"/>
    <w:rsid w:val="000B3979"/>
    <w:rsid w:val="000B3BAB"/>
    <w:rsid w:val="000B3E4E"/>
    <w:rsid w:val="000B3E66"/>
    <w:rsid w:val="000B3EFD"/>
    <w:rsid w:val="000B4819"/>
    <w:rsid w:val="000B4C42"/>
    <w:rsid w:val="000B4FBB"/>
    <w:rsid w:val="000B5106"/>
    <w:rsid w:val="000B55E6"/>
    <w:rsid w:val="000B5717"/>
    <w:rsid w:val="000B5BB8"/>
    <w:rsid w:val="000B5E17"/>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5008"/>
    <w:rsid w:val="000C6084"/>
    <w:rsid w:val="000C6814"/>
    <w:rsid w:val="000C6C83"/>
    <w:rsid w:val="000C708A"/>
    <w:rsid w:val="000C733F"/>
    <w:rsid w:val="000D0268"/>
    <w:rsid w:val="000D050B"/>
    <w:rsid w:val="000D0A35"/>
    <w:rsid w:val="000D0CBB"/>
    <w:rsid w:val="000D13AB"/>
    <w:rsid w:val="000D13E9"/>
    <w:rsid w:val="000D17E0"/>
    <w:rsid w:val="000D1B3A"/>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B33"/>
    <w:rsid w:val="000E3E99"/>
    <w:rsid w:val="000E44A7"/>
    <w:rsid w:val="000E49B0"/>
    <w:rsid w:val="000E4E78"/>
    <w:rsid w:val="000E51BE"/>
    <w:rsid w:val="000E5C66"/>
    <w:rsid w:val="000E5FCE"/>
    <w:rsid w:val="000E65D5"/>
    <w:rsid w:val="000E6B3B"/>
    <w:rsid w:val="000E7848"/>
    <w:rsid w:val="000F0203"/>
    <w:rsid w:val="000F0544"/>
    <w:rsid w:val="000F0DB3"/>
    <w:rsid w:val="000F162C"/>
    <w:rsid w:val="000F1C1C"/>
    <w:rsid w:val="000F1FFC"/>
    <w:rsid w:val="000F20E6"/>
    <w:rsid w:val="000F29C3"/>
    <w:rsid w:val="000F37CA"/>
    <w:rsid w:val="000F3F6D"/>
    <w:rsid w:val="000F4073"/>
    <w:rsid w:val="000F4B82"/>
    <w:rsid w:val="000F4E84"/>
    <w:rsid w:val="000F4E98"/>
    <w:rsid w:val="000F5307"/>
    <w:rsid w:val="000F5642"/>
    <w:rsid w:val="000F5D49"/>
    <w:rsid w:val="000F609F"/>
    <w:rsid w:val="000F61C6"/>
    <w:rsid w:val="000F6D45"/>
    <w:rsid w:val="000F7E1A"/>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2ED"/>
    <w:rsid w:val="00111490"/>
    <w:rsid w:val="00111D52"/>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240C"/>
    <w:rsid w:val="00122DC7"/>
    <w:rsid w:val="001233FD"/>
    <w:rsid w:val="00123920"/>
    <w:rsid w:val="00123F37"/>
    <w:rsid w:val="00123FA2"/>
    <w:rsid w:val="0012420B"/>
    <w:rsid w:val="00124463"/>
    <w:rsid w:val="00124E42"/>
    <w:rsid w:val="001251DA"/>
    <w:rsid w:val="001256FC"/>
    <w:rsid w:val="001256FF"/>
    <w:rsid w:val="00125F2C"/>
    <w:rsid w:val="00126B06"/>
    <w:rsid w:val="00126B6A"/>
    <w:rsid w:val="00127E57"/>
    <w:rsid w:val="0013011D"/>
    <w:rsid w:val="001303A0"/>
    <w:rsid w:val="00130431"/>
    <w:rsid w:val="00130B4A"/>
    <w:rsid w:val="00130D79"/>
    <w:rsid w:val="00130F81"/>
    <w:rsid w:val="001316E0"/>
    <w:rsid w:val="00131A4A"/>
    <w:rsid w:val="001322E8"/>
    <w:rsid w:val="001330CE"/>
    <w:rsid w:val="00133257"/>
    <w:rsid w:val="00133CFB"/>
    <w:rsid w:val="00134261"/>
    <w:rsid w:val="00134D51"/>
    <w:rsid w:val="001358AE"/>
    <w:rsid w:val="00135D78"/>
    <w:rsid w:val="00135F73"/>
    <w:rsid w:val="0013610E"/>
    <w:rsid w:val="0013670E"/>
    <w:rsid w:val="00136D08"/>
    <w:rsid w:val="00137502"/>
    <w:rsid w:val="00137797"/>
    <w:rsid w:val="00137A50"/>
    <w:rsid w:val="00137BB8"/>
    <w:rsid w:val="00137C04"/>
    <w:rsid w:val="00137CFE"/>
    <w:rsid w:val="001406C5"/>
    <w:rsid w:val="001413B7"/>
    <w:rsid w:val="00141CC8"/>
    <w:rsid w:val="00141F33"/>
    <w:rsid w:val="00142059"/>
    <w:rsid w:val="00142515"/>
    <w:rsid w:val="001428AB"/>
    <w:rsid w:val="00142CD7"/>
    <w:rsid w:val="00142D76"/>
    <w:rsid w:val="0014315E"/>
    <w:rsid w:val="001435D2"/>
    <w:rsid w:val="0014363C"/>
    <w:rsid w:val="00143BAA"/>
    <w:rsid w:val="00143BB3"/>
    <w:rsid w:val="00143D4C"/>
    <w:rsid w:val="00143F11"/>
    <w:rsid w:val="0014407E"/>
    <w:rsid w:val="001450C1"/>
    <w:rsid w:val="0014552C"/>
    <w:rsid w:val="001457AC"/>
    <w:rsid w:val="00145C51"/>
    <w:rsid w:val="001460A1"/>
    <w:rsid w:val="00147E5D"/>
    <w:rsid w:val="00147F65"/>
    <w:rsid w:val="00150240"/>
    <w:rsid w:val="00150A23"/>
    <w:rsid w:val="00150A25"/>
    <w:rsid w:val="00150B28"/>
    <w:rsid w:val="00150E68"/>
    <w:rsid w:val="00151437"/>
    <w:rsid w:val="00151AC1"/>
    <w:rsid w:val="001524FD"/>
    <w:rsid w:val="001530FD"/>
    <w:rsid w:val="001531D8"/>
    <w:rsid w:val="0015335C"/>
    <w:rsid w:val="00153462"/>
    <w:rsid w:val="001537C6"/>
    <w:rsid w:val="00153CBA"/>
    <w:rsid w:val="00153D08"/>
    <w:rsid w:val="001548F8"/>
    <w:rsid w:val="00154CEE"/>
    <w:rsid w:val="0015502C"/>
    <w:rsid w:val="00155333"/>
    <w:rsid w:val="001554AC"/>
    <w:rsid w:val="00155B2A"/>
    <w:rsid w:val="001563A2"/>
    <w:rsid w:val="001565F5"/>
    <w:rsid w:val="0015667F"/>
    <w:rsid w:val="00156A89"/>
    <w:rsid w:val="00156DE4"/>
    <w:rsid w:val="00157CEF"/>
    <w:rsid w:val="00160686"/>
    <w:rsid w:val="00160A58"/>
    <w:rsid w:val="00160B53"/>
    <w:rsid w:val="00160D5F"/>
    <w:rsid w:val="001610F7"/>
    <w:rsid w:val="0016180C"/>
    <w:rsid w:val="00161B07"/>
    <w:rsid w:val="00161C70"/>
    <w:rsid w:val="00162555"/>
    <w:rsid w:val="00162E95"/>
    <w:rsid w:val="00163F32"/>
    <w:rsid w:val="00163FF5"/>
    <w:rsid w:val="0016405F"/>
    <w:rsid w:val="00164F19"/>
    <w:rsid w:val="00165ABE"/>
    <w:rsid w:val="00165D66"/>
    <w:rsid w:val="00165DB6"/>
    <w:rsid w:val="0016605B"/>
    <w:rsid w:val="00166DFC"/>
    <w:rsid w:val="00167548"/>
    <w:rsid w:val="00167C1F"/>
    <w:rsid w:val="00170339"/>
    <w:rsid w:val="0017083C"/>
    <w:rsid w:val="00171099"/>
    <w:rsid w:val="00171131"/>
    <w:rsid w:val="00171298"/>
    <w:rsid w:val="00171C8F"/>
    <w:rsid w:val="00171CEA"/>
    <w:rsid w:val="001722F6"/>
    <w:rsid w:val="0017235F"/>
    <w:rsid w:val="00172A8E"/>
    <w:rsid w:val="00172F6D"/>
    <w:rsid w:val="00173200"/>
    <w:rsid w:val="001739C7"/>
    <w:rsid w:val="0017424D"/>
    <w:rsid w:val="00174729"/>
    <w:rsid w:val="00174A96"/>
    <w:rsid w:val="00175D06"/>
    <w:rsid w:val="00176274"/>
    <w:rsid w:val="001769FE"/>
    <w:rsid w:val="00176DEB"/>
    <w:rsid w:val="00177370"/>
    <w:rsid w:val="00177F17"/>
    <w:rsid w:val="00180061"/>
    <w:rsid w:val="00181F2E"/>
    <w:rsid w:val="00182885"/>
    <w:rsid w:val="00183593"/>
    <w:rsid w:val="00183799"/>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45B"/>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FDA"/>
    <w:rsid w:val="001B0654"/>
    <w:rsid w:val="001B192E"/>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B7872"/>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213"/>
    <w:rsid w:val="001D4EF1"/>
    <w:rsid w:val="001D4FEE"/>
    <w:rsid w:val="001D5020"/>
    <w:rsid w:val="001D5323"/>
    <w:rsid w:val="001D5F41"/>
    <w:rsid w:val="001D68AB"/>
    <w:rsid w:val="001D6B18"/>
    <w:rsid w:val="001D6C22"/>
    <w:rsid w:val="001D6C48"/>
    <w:rsid w:val="001D731E"/>
    <w:rsid w:val="001D79F6"/>
    <w:rsid w:val="001D7A31"/>
    <w:rsid w:val="001D7D76"/>
    <w:rsid w:val="001E0F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67E"/>
    <w:rsid w:val="001E67E5"/>
    <w:rsid w:val="001E6A17"/>
    <w:rsid w:val="001E6BB2"/>
    <w:rsid w:val="001E6C2F"/>
    <w:rsid w:val="001E6D77"/>
    <w:rsid w:val="001E6ED2"/>
    <w:rsid w:val="001E6EF9"/>
    <w:rsid w:val="001E7A31"/>
    <w:rsid w:val="001E7F38"/>
    <w:rsid w:val="001F048A"/>
    <w:rsid w:val="001F0B80"/>
    <w:rsid w:val="001F0C7B"/>
    <w:rsid w:val="001F20D7"/>
    <w:rsid w:val="001F2167"/>
    <w:rsid w:val="001F25AB"/>
    <w:rsid w:val="001F28CE"/>
    <w:rsid w:val="001F290B"/>
    <w:rsid w:val="001F2C72"/>
    <w:rsid w:val="001F358A"/>
    <w:rsid w:val="001F4471"/>
    <w:rsid w:val="001F4788"/>
    <w:rsid w:val="001F4A43"/>
    <w:rsid w:val="001F4F13"/>
    <w:rsid w:val="001F50C1"/>
    <w:rsid w:val="001F5363"/>
    <w:rsid w:val="001F55C8"/>
    <w:rsid w:val="001F584C"/>
    <w:rsid w:val="001F6150"/>
    <w:rsid w:val="001F6A6F"/>
    <w:rsid w:val="001F72F3"/>
    <w:rsid w:val="001F7495"/>
    <w:rsid w:val="001F74FB"/>
    <w:rsid w:val="001F7551"/>
    <w:rsid w:val="001F7A65"/>
    <w:rsid w:val="00200246"/>
    <w:rsid w:val="00200420"/>
    <w:rsid w:val="0020057B"/>
    <w:rsid w:val="00200BAD"/>
    <w:rsid w:val="002016AF"/>
    <w:rsid w:val="00201DA3"/>
    <w:rsid w:val="00202E2F"/>
    <w:rsid w:val="00203254"/>
    <w:rsid w:val="002033C9"/>
    <w:rsid w:val="00203401"/>
    <w:rsid w:val="002036F6"/>
    <w:rsid w:val="0020377C"/>
    <w:rsid w:val="00203CBE"/>
    <w:rsid w:val="00204993"/>
    <w:rsid w:val="00204BBB"/>
    <w:rsid w:val="00204FA1"/>
    <w:rsid w:val="00205120"/>
    <w:rsid w:val="00205A92"/>
    <w:rsid w:val="00205AAA"/>
    <w:rsid w:val="00205B81"/>
    <w:rsid w:val="00205E7E"/>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649"/>
    <w:rsid w:val="00216B72"/>
    <w:rsid w:val="002176FE"/>
    <w:rsid w:val="00217CE6"/>
    <w:rsid w:val="0022033C"/>
    <w:rsid w:val="002207DE"/>
    <w:rsid w:val="00220E0C"/>
    <w:rsid w:val="00220FFA"/>
    <w:rsid w:val="002215BC"/>
    <w:rsid w:val="00221803"/>
    <w:rsid w:val="00221976"/>
    <w:rsid w:val="00221B75"/>
    <w:rsid w:val="00221D26"/>
    <w:rsid w:val="00222294"/>
    <w:rsid w:val="00222E3F"/>
    <w:rsid w:val="0022315F"/>
    <w:rsid w:val="002236F7"/>
    <w:rsid w:val="00224669"/>
    <w:rsid w:val="0022476F"/>
    <w:rsid w:val="0022538D"/>
    <w:rsid w:val="00225981"/>
    <w:rsid w:val="00226372"/>
    <w:rsid w:val="00226DC1"/>
    <w:rsid w:val="00227606"/>
    <w:rsid w:val="00227B8F"/>
    <w:rsid w:val="00227F69"/>
    <w:rsid w:val="0023006C"/>
    <w:rsid w:val="002303F6"/>
    <w:rsid w:val="002308C7"/>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D6A"/>
    <w:rsid w:val="00234F5C"/>
    <w:rsid w:val="00234F9C"/>
    <w:rsid w:val="002359C0"/>
    <w:rsid w:val="00235B7E"/>
    <w:rsid w:val="00235D5B"/>
    <w:rsid w:val="002369CD"/>
    <w:rsid w:val="00236D37"/>
    <w:rsid w:val="00236FC2"/>
    <w:rsid w:val="0023790E"/>
    <w:rsid w:val="00237D4C"/>
    <w:rsid w:val="00237F88"/>
    <w:rsid w:val="00240514"/>
    <w:rsid w:val="0024084A"/>
    <w:rsid w:val="00241153"/>
    <w:rsid w:val="002413AD"/>
    <w:rsid w:val="0024191F"/>
    <w:rsid w:val="00241A43"/>
    <w:rsid w:val="00242083"/>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7106"/>
    <w:rsid w:val="002477F2"/>
    <w:rsid w:val="00247D96"/>
    <w:rsid w:val="00247FA4"/>
    <w:rsid w:val="002500C3"/>
    <w:rsid w:val="00250D1E"/>
    <w:rsid w:val="002516C2"/>
    <w:rsid w:val="00252375"/>
    <w:rsid w:val="00252561"/>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481"/>
    <w:rsid w:val="00260710"/>
    <w:rsid w:val="002609E8"/>
    <w:rsid w:val="00260F9F"/>
    <w:rsid w:val="0026135B"/>
    <w:rsid w:val="00261C57"/>
    <w:rsid w:val="002621C7"/>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42A"/>
    <w:rsid w:val="00266DCB"/>
    <w:rsid w:val="00266DFA"/>
    <w:rsid w:val="00266E54"/>
    <w:rsid w:val="00267757"/>
    <w:rsid w:val="0027013A"/>
    <w:rsid w:val="00270248"/>
    <w:rsid w:val="002706A5"/>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F5A"/>
    <w:rsid w:val="002772F2"/>
    <w:rsid w:val="00280CF7"/>
    <w:rsid w:val="0028102E"/>
    <w:rsid w:val="002810E6"/>
    <w:rsid w:val="00281102"/>
    <w:rsid w:val="002816A6"/>
    <w:rsid w:val="00281787"/>
    <w:rsid w:val="00281930"/>
    <w:rsid w:val="00281B1F"/>
    <w:rsid w:val="00281F85"/>
    <w:rsid w:val="0028208F"/>
    <w:rsid w:val="0028228E"/>
    <w:rsid w:val="002823DF"/>
    <w:rsid w:val="00282F71"/>
    <w:rsid w:val="00283304"/>
    <w:rsid w:val="00284106"/>
    <w:rsid w:val="00284B36"/>
    <w:rsid w:val="0028542B"/>
    <w:rsid w:val="00285517"/>
    <w:rsid w:val="00285C27"/>
    <w:rsid w:val="002860E9"/>
    <w:rsid w:val="0028655C"/>
    <w:rsid w:val="002865FC"/>
    <w:rsid w:val="0028756D"/>
    <w:rsid w:val="0028780B"/>
    <w:rsid w:val="00287AF2"/>
    <w:rsid w:val="00287D32"/>
    <w:rsid w:val="002907CA"/>
    <w:rsid w:val="0029101B"/>
    <w:rsid w:val="002911C4"/>
    <w:rsid w:val="00291555"/>
    <w:rsid w:val="00292AD8"/>
    <w:rsid w:val="00293860"/>
    <w:rsid w:val="00293B7C"/>
    <w:rsid w:val="002943D3"/>
    <w:rsid w:val="00294595"/>
    <w:rsid w:val="00294BE9"/>
    <w:rsid w:val="002954C3"/>
    <w:rsid w:val="00295D64"/>
    <w:rsid w:val="002968B6"/>
    <w:rsid w:val="00296D86"/>
    <w:rsid w:val="00296EE5"/>
    <w:rsid w:val="00296F64"/>
    <w:rsid w:val="002973ED"/>
    <w:rsid w:val="002974E9"/>
    <w:rsid w:val="002A01FB"/>
    <w:rsid w:val="002A0313"/>
    <w:rsid w:val="002A0563"/>
    <w:rsid w:val="002A05D5"/>
    <w:rsid w:val="002A0F9C"/>
    <w:rsid w:val="002A1294"/>
    <w:rsid w:val="002A17AD"/>
    <w:rsid w:val="002A1B1F"/>
    <w:rsid w:val="002A1B65"/>
    <w:rsid w:val="002A23CF"/>
    <w:rsid w:val="002A29D3"/>
    <w:rsid w:val="002A305E"/>
    <w:rsid w:val="002A313D"/>
    <w:rsid w:val="002A37AD"/>
    <w:rsid w:val="002A3B21"/>
    <w:rsid w:val="002A433A"/>
    <w:rsid w:val="002A4757"/>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C64"/>
    <w:rsid w:val="002B1E44"/>
    <w:rsid w:val="002B2AA2"/>
    <w:rsid w:val="002B2B65"/>
    <w:rsid w:val="002B32E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2DFB"/>
    <w:rsid w:val="002C3299"/>
    <w:rsid w:val="002C3398"/>
    <w:rsid w:val="002C373C"/>
    <w:rsid w:val="002C3748"/>
    <w:rsid w:val="002C3E24"/>
    <w:rsid w:val="002C3EB6"/>
    <w:rsid w:val="002C453A"/>
    <w:rsid w:val="002C455D"/>
    <w:rsid w:val="002C476D"/>
    <w:rsid w:val="002C4923"/>
    <w:rsid w:val="002C4C81"/>
    <w:rsid w:val="002C4E1C"/>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1FD5"/>
    <w:rsid w:val="002D22DD"/>
    <w:rsid w:val="002D2BE6"/>
    <w:rsid w:val="002D2C8C"/>
    <w:rsid w:val="002D2E4D"/>
    <w:rsid w:val="002D332E"/>
    <w:rsid w:val="002D3B4B"/>
    <w:rsid w:val="002D4B63"/>
    <w:rsid w:val="002D54A3"/>
    <w:rsid w:val="002D56F4"/>
    <w:rsid w:val="002D5ECC"/>
    <w:rsid w:val="002D6428"/>
    <w:rsid w:val="002D6ABE"/>
    <w:rsid w:val="002D726B"/>
    <w:rsid w:val="002D7857"/>
    <w:rsid w:val="002D7B46"/>
    <w:rsid w:val="002D7D98"/>
    <w:rsid w:val="002E0EF2"/>
    <w:rsid w:val="002E10B7"/>
    <w:rsid w:val="002E12CF"/>
    <w:rsid w:val="002E1B5C"/>
    <w:rsid w:val="002E1F75"/>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E7FBB"/>
    <w:rsid w:val="002F0B1C"/>
    <w:rsid w:val="002F1235"/>
    <w:rsid w:val="002F1568"/>
    <w:rsid w:val="002F15F1"/>
    <w:rsid w:val="002F189C"/>
    <w:rsid w:val="002F1A77"/>
    <w:rsid w:val="002F2750"/>
    <w:rsid w:val="002F2BAD"/>
    <w:rsid w:val="002F2E09"/>
    <w:rsid w:val="002F30B2"/>
    <w:rsid w:val="002F3308"/>
    <w:rsid w:val="002F3B4D"/>
    <w:rsid w:val="002F3F7A"/>
    <w:rsid w:val="002F469D"/>
    <w:rsid w:val="002F46A0"/>
    <w:rsid w:val="002F4D49"/>
    <w:rsid w:val="002F5883"/>
    <w:rsid w:val="002F5FCC"/>
    <w:rsid w:val="002F6495"/>
    <w:rsid w:val="002F6876"/>
    <w:rsid w:val="002F6925"/>
    <w:rsid w:val="002F6B07"/>
    <w:rsid w:val="002F7BF0"/>
    <w:rsid w:val="0030058C"/>
    <w:rsid w:val="0030061C"/>
    <w:rsid w:val="00300DC1"/>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30DD"/>
    <w:rsid w:val="00313359"/>
    <w:rsid w:val="0031342C"/>
    <w:rsid w:val="003134CA"/>
    <w:rsid w:val="00313644"/>
    <w:rsid w:val="00313881"/>
    <w:rsid w:val="0031394C"/>
    <w:rsid w:val="003139EC"/>
    <w:rsid w:val="003141DE"/>
    <w:rsid w:val="003141FD"/>
    <w:rsid w:val="003156D6"/>
    <w:rsid w:val="003156FB"/>
    <w:rsid w:val="00315D77"/>
    <w:rsid w:val="0031629E"/>
    <w:rsid w:val="00316468"/>
    <w:rsid w:val="00316981"/>
    <w:rsid w:val="00317265"/>
    <w:rsid w:val="0031738C"/>
    <w:rsid w:val="003179D7"/>
    <w:rsid w:val="00317C9C"/>
    <w:rsid w:val="003205B7"/>
    <w:rsid w:val="003207A2"/>
    <w:rsid w:val="00320833"/>
    <w:rsid w:val="00320E38"/>
    <w:rsid w:val="00320F62"/>
    <w:rsid w:val="00321581"/>
    <w:rsid w:val="00321735"/>
    <w:rsid w:val="00322597"/>
    <w:rsid w:val="003230B6"/>
    <w:rsid w:val="0032397F"/>
    <w:rsid w:val="00323A1D"/>
    <w:rsid w:val="00324299"/>
    <w:rsid w:val="00324AB4"/>
    <w:rsid w:val="003256BE"/>
    <w:rsid w:val="00325875"/>
    <w:rsid w:val="00325CC2"/>
    <w:rsid w:val="00326056"/>
    <w:rsid w:val="0032608C"/>
    <w:rsid w:val="0032705E"/>
    <w:rsid w:val="00327093"/>
    <w:rsid w:val="00327415"/>
    <w:rsid w:val="003277F0"/>
    <w:rsid w:val="00327E23"/>
    <w:rsid w:val="003307CA"/>
    <w:rsid w:val="00330E13"/>
    <w:rsid w:val="00331686"/>
    <w:rsid w:val="0033169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6767"/>
    <w:rsid w:val="00337000"/>
    <w:rsid w:val="0033744F"/>
    <w:rsid w:val="0033759F"/>
    <w:rsid w:val="00337957"/>
    <w:rsid w:val="0034001B"/>
    <w:rsid w:val="00340929"/>
    <w:rsid w:val="00340E0F"/>
    <w:rsid w:val="00341C22"/>
    <w:rsid w:val="00342983"/>
    <w:rsid w:val="00342A63"/>
    <w:rsid w:val="00343722"/>
    <w:rsid w:val="003437D1"/>
    <w:rsid w:val="00343AB5"/>
    <w:rsid w:val="0034413A"/>
    <w:rsid w:val="00344ADD"/>
    <w:rsid w:val="00344AE4"/>
    <w:rsid w:val="00344D78"/>
    <w:rsid w:val="00344E66"/>
    <w:rsid w:val="003455EB"/>
    <w:rsid w:val="003459D1"/>
    <w:rsid w:val="00345DE4"/>
    <w:rsid w:val="003460D2"/>
    <w:rsid w:val="003463FA"/>
    <w:rsid w:val="00346524"/>
    <w:rsid w:val="00346EE6"/>
    <w:rsid w:val="00346F06"/>
    <w:rsid w:val="00346FD7"/>
    <w:rsid w:val="00347C37"/>
    <w:rsid w:val="00347D77"/>
    <w:rsid w:val="00347EC5"/>
    <w:rsid w:val="00347F92"/>
    <w:rsid w:val="003506AB"/>
    <w:rsid w:val="00350D05"/>
    <w:rsid w:val="00350EFE"/>
    <w:rsid w:val="00351183"/>
    <w:rsid w:val="003514AE"/>
    <w:rsid w:val="00351D69"/>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6E05"/>
    <w:rsid w:val="00357166"/>
    <w:rsid w:val="00357171"/>
    <w:rsid w:val="003604F9"/>
    <w:rsid w:val="0036151A"/>
    <w:rsid w:val="0036188E"/>
    <w:rsid w:val="00362E8B"/>
    <w:rsid w:val="003631EB"/>
    <w:rsid w:val="00363705"/>
    <w:rsid w:val="00363921"/>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73A"/>
    <w:rsid w:val="00372104"/>
    <w:rsid w:val="00373035"/>
    <w:rsid w:val="00373283"/>
    <w:rsid w:val="00373343"/>
    <w:rsid w:val="00373BE7"/>
    <w:rsid w:val="00373DF3"/>
    <w:rsid w:val="00373E3F"/>
    <w:rsid w:val="00373F18"/>
    <w:rsid w:val="00374468"/>
    <w:rsid w:val="00374698"/>
    <w:rsid w:val="003747DC"/>
    <w:rsid w:val="00374CEB"/>
    <w:rsid w:val="0037513D"/>
    <w:rsid w:val="00375392"/>
    <w:rsid w:val="003755B1"/>
    <w:rsid w:val="0037604F"/>
    <w:rsid w:val="00376053"/>
    <w:rsid w:val="003773F8"/>
    <w:rsid w:val="00377563"/>
    <w:rsid w:val="00377783"/>
    <w:rsid w:val="00377FAD"/>
    <w:rsid w:val="003801FF"/>
    <w:rsid w:val="00380BCD"/>
    <w:rsid w:val="0038196D"/>
    <w:rsid w:val="003819AA"/>
    <w:rsid w:val="003819F0"/>
    <w:rsid w:val="00382083"/>
    <w:rsid w:val="003821A0"/>
    <w:rsid w:val="00382DB2"/>
    <w:rsid w:val="00383504"/>
    <w:rsid w:val="00384EFE"/>
    <w:rsid w:val="00385203"/>
    <w:rsid w:val="00385C0C"/>
    <w:rsid w:val="00385C34"/>
    <w:rsid w:val="00385D90"/>
    <w:rsid w:val="00385EBA"/>
    <w:rsid w:val="00387084"/>
    <w:rsid w:val="0038748B"/>
    <w:rsid w:val="003875DF"/>
    <w:rsid w:val="0038787B"/>
    <w:rsid w:val="0038788A"/>
    <w:rsid w:val="00387965"/>
    <w:rsid w:val="00390C8B"/>
    <w:rsid w:val="00390ECA"/>
    <w:rsid w:val="00392602"/>
    <w:rsid w:val="00392BFF"/>
    <w:rsid w:val="0039322C"/>
    <w:rsid w:val="0039348B"/>
    <w:rsid w:val="003939C9"/>
    <w:rsid w:val="00393A2D"/>
    <w:rsid w:val="00394194"/>
    <w:rsid w:val="00394482"/>
    <w:rsid w:val="003947F7"/>
    <w:rsid w:val="00394F48"/>
    <w:rsid w:val="0039532C"/>
    <w:rsid w:val="00395918"/>
    <w:rsid w:val="00395AC0"/>
    <w:rsid w:val="00395CD3"/>
    <w:rsid w:val="00397BCC"/>
    <w:rsid w:val="003A0144"/>
    <w:rsid w:val="003A0147"/>
    <w:rsid w:val="003A14A1"/>
    <w:rsid w:val="003A1539"/>
    <w:rsid w:val="003A19D3"/>
    <w:rsid w:val="003A1A4E"/>
    <w:rsid w:val="003A1B32"/>
    <w:rsid w:val="003A1C6E"/>
    <w:rsid w:val="003A1F05"/>
    <w:rsid w:val="003A25B1"/>
    <w:rsid w:val="003A2B10"/>
    <w:rsid w:val="003A2D0A"/>
    <w:rsid w:val="003A39FB"/>
    <w:rsid w:val="003A3EAD"/>
    <w:rsid w:val="003A5305"/>
    <w:rsid w:val="003A5E8B"/>
    <w:rsid w:val="003A66A5"/>
    <w:rsid w:val="003A67B6"/>
    <w:rsid w:val="003A6E0B"/>
    <w:rsid w:val="003A6FDF"/>
    <w:rsid w:val="003A7134"/>
    <w:rsid w:val="003A77B8"/>
    <w:rsid w:val="003B00EE"/>
    <w:rsid w:val="003B09AE"/>
    <w:rsid w:val="003B0DD4"/>
    <w:rsid w:val="003B1354"/>
    <w:rsid w:val="003B1784"/>
    <w:rsid w:val="003B1CD7"/>
    <w:rsid w:val="003B1F75"/>
    <w:rsid w:val="003B23B5"/>
    <w:rsid w:val="003B39B9"/>
    <w:rsid w:val="003B3FBB"/>
    <w:rsid w:val="003B4612"/>
    <w:rsid w:val="003B465D"/>
    <w:rsid w:val="003B4C23"/>
    <w:rsid w:val="003B568E"/>
    <w:rsid w:val="003B580C"/>
    <w:rsid w:val="003B5CDE"/>
    <w:rsid w:val="003B6491"/>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F67"/>
    <w:rsid w:val="003C5A7D"/>
    <w:rsid w:val="003C5E52"/>
    <w:rsid w:val="003C60AD"/>
    <w:rsid w:val="003C6391"/>
    <w:rsid w:val="003C6481"/>
    <w:rsid w:val="003C6709"/>
    <w:rsid w:val="003D046C"/>
    <w:rsid w:val="003D0B3C"/>
    <w:rsid w:val="003D1489"/>
    <w:rsid w:val="003D162E"/>
    <w:rsid w:val="003D16A2"/>
    <w:rsid w:val="003D1853"/>
    <w:rsid w:val="003D2570"/>
    <w:rsid w:val="003D2A86"/>
    <w:rsid w:val="003D2E90"/>
    <w:rsid w:val="003D3369"/>
    <w:rsid w:val="003D3518"/>
    <w:rsid w:val="003D3A81"/>
    <w:rsid w:val="003D3DC1"/>
    <w:rsid w:val="003D4006"/>
    <w:rsid w:val="003D4111"/>
    <w:rsid w:val="003D418E"/>
    <w:rsid w:val="003D44CA"/>
    <w:rsid w:val="003D4E53"/>
    <w:rsid w:val="003D519E"/>
    <w:rsid w:val="003D5D59"/>
    <w:rsid w:val="003D62B1"/>
    <w:rsid w:val="003D6630"/>
    <w:rsid w:val="003D6839"/>
    <w:rsid w:val="003D6869"/>
    <w:rsid w:val="003D6A8B"/>
    <w:rsid w:val="003D6B7C"/>
    <w:rsid w:val="003D6DFF"/>
    <w:rsid w:val="003D7D1A"/>
    <w:rsid w:val="003D7EE3"/>
    <w:rsid w:val="003E0369"/>
    <w:rsid w:val="003E0CBC"/>
    <w:rsid w:val="003E149A"/>
    <w:rsid w:val="003E19AD"/>
    <w:rsid w:val="003E21E6"/>
    <w:rsid w:val="003E2409"/>
    <w:rsid w:val="003E2B89"/>
    <w:rsid w:val="003E2C05"/>
    <w:rsid w:val="003E33EC"/>
    <w:rsid w:val="003E3631"/>
    <w:rsid w:val="003E36CB"/>
    <w:rsid w:val="003E3B3E"/>
    <w:rsid w:val="003E3D90"/>
    <w:rsid w:val="003E4172"/>
    <w:rsid w:val="003E44FA"/>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5E3B"/>
    <w:rsid w:val="003F61B2"/>
    <w:rsid w:val="003F6368"/>
    <w:rsid w:val="003F65F4"/>
    <w:rsid w:val="003F671D"/>
    <w:rsid w:val="003F68B2"/>
    <w:rsid w:val="003F6B07"/>
    <w:rsid w:val="003F6EA9"/>
    <w:rsid w:val="003F707C"/>
    <w:rsid w:val="0040009E"/>
    <w:rsid w:val="004004CB"/>
    <w:rsid w:val="00400B6B"/>
    <w:rsid w:val="00401370"/>
    <w:rsid w:val="00401691"/>
    <w:rsid w:val="0040196A"/>
    <w:rsid w:val="00401D39"/>
    <w:rsid w:val="0040283B"/>
    <w:rsid w:val="004032E2"/>
    <w:rsid w:val="0040335F"/>
    <w:rsid w:val="00403461"/>
    <w:rsid w:val="00403F09"/>
    <w:rsid w:val="00404C86"/>
    <w:rsid w:val="00405409"/>
    <w:rsid w:val="004054B1"/>
    <w:rsid w:val="00405630"/>
    <w:rsid w:val="00405F9E"/>
    <w:rsid w:val="00406253"/>
    <w:rsid w:val="00406BD7"/>
    <w:rsid w:val="00406E9A"/>
    <w:rsid w:val="004079CF"/>
    <w:rsid w:val="00407B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5E43"/>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BE9"/>
    <w:rsid w:val="00426FE3"/>
    <w:rsid w:val="004272E0"/>
    <w:rsid w:val="004274DA"/>
    <w:rsid w:val="00427BC4"/>
    <w:rsid w:val="00427C00"/>
    <w:rsid w:val="00430320"/>
    <w:rsid w:val="00430646"/>
    <w:rsid w:val="00431798"/>
    <w:rsid w:val="00431839"/>
    <w:rsid w:val="00431E2A"/>
    <w:rsid w:val="0043200A"/>
    <w:rsid w:val="0043287B"/>
    <w:rsid w:val="00433494"/>
    <w:rsid w:val="00434301"/>
    <w:rsid w:val="00434B9F"/>
    <w:rsid w:val="00434BC8"/>
    <w:rsid w:val="00434E4E"/>
    <w:rsid w:val="004355F4"/>
    <w:rsid w:val="0043609C"/>
    <w:rsid w:val="0043654E"/>
    <w:rsid w:val="0043726A"/>
    <w:rsid w:val="00437351"/>
    <w:rsid w:val="0043747A"/>
    <w:rsid w:val="00437648"/>
    <w:rsid w:val="00437712"/>
    <w:rsid w:val="00437E7D"/>
    <w:rsid w:val="00440492"/>
    <w:rsid w:val="004405B2"/>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186"/>
    <w:rsid w:val="004475F4"/>
    <w:rsid w:val="004500DD"/>
    <w:rsid w:val="0045010F"/>
    <w:rsid w:val="004507AC"/>
    <w:rsid w:val="00450954"/>
    <w:rsid w:val="00450973"/>
    <w:rsid w:val="00450EBD"/>
    <w:rsid w:val="004512AA"/>
    <w:rsid w:val="00451E00"/>
    <w:rsid w:val="00451E98"/>
    <w:rsid w:val="004532E4"/>
    <w:rsid w:val="00453490"/>
    <w:rsid w:val="004535A5"/>
    <w:rsid w:val="0045469D"/>
    <w:rsid w:val="004547B4"/>
    <w:rsid w:val="004550AC"/>
    <w:rsid w:val="00455AFF"/>
    <w:rsid w:val="00455F1D"/>
    <w:rsid w:val="00456A7F"/>
    <w:rsid w:val="00460098"/>
    <w:rsid w:val="00461013"/>
    <w:rsid w:val="00461636"/>
    <w:rsid w:val="0046195A"/>
    <w:rsid w:val="00462A6F"/>
    <w:rsid w:val="00462EC0"/>
    <w:rsid w:val="00463088"/>
    <w:rsid w:val="004630A6"/>
    <w:rsid w:val="004639D0"/>
    <w:rsid w:val="00463DC4"/>
    <w:rsid w:val="00463F8E"/>
    <w:rsid w:val="00464E0D"/>
    <w:rsid w:val="0046553C"/>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20FB"/>
    <w:rsid w:val="004723B9"/>
    <w:rsid w:val="00472508"/>
    <w:rsid w:val="00472977"/>
    <w:rsid w:val="00472CEA"/>
    <w:rsid w:val="00472E90"/>
    <w:rsid w:val="004737B2"/>
    <w:rsid w:val="00473D0C"/>
    <w:rsid w:val="00474829"/>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9B8"/>
    <w:rsid w:val="00485A5A"/>
    <w:rsid w:val="004876CB"/>
    <w:rsid w:val="004879A4"/>
    <w:rsid w:val="00487AAD"/>
    <w:rsid w:val="00490252"/>
    <w:rsid w:val="0049070A"/>
    <w:rsid w:val="00490F6A"/>
    <w:rsid w:val="00491C0C"/>
    <w:rsid w:val="0049264A"/>
    <w:rsid w:val="00492704"/>
    <w:rsid w:val="0049272C"/>
    <w:rsid w:val="00492C57"/>
    <w:rsid w:val="0049327F"/>
    <w:rsid w:val="00493AA8"/>
    <w:rsid w:val="00493D86"/>
    <w:rsid w:val="00494081"/>
    <w:rsid w:val="00494161"/>
    <w:rsid w:val="00494C0A"/>
    <w:rsid w:val="0049518F"/>
    <w:rsid w:val="0049528A"/>
    <w:rsid w:val="00495E72"/>
    <w:rsid w:val="00495F27"/>
    <w:rsid w:val="00496065"/>
    <w:rsid w:val="004966F2"/>
    <w:rsid w:val="00496F98"/>
    <w:rsid w:val="00497D5F"/>
    <w:rsid w:val="004A103B"/>
    <w:rsid w:val="004A1440"/>
    <w:rsid w:val="004A1C9E"/>
    <w:rsid w:val="004A3111"/>
    <w:rsid w:val="004A3268"/>
    <w:rsid w:val="004A346C"/>
    <w:rsid w:val="004A36CC"/>
    <w:rsid w:val="004A4093"/>
    <w:rsid w:val="004A49D2"/>
    <w:rsid w:val="004A4A95"/>
    <w:rsid w:val="004A4E5F"/>
    <w:rsid w:val="004A5113"/>
    <w:rsid w:val="004A5905"/>
    <w:rsid w:val="004A6816"/>
    <w:rsid w:val="004A6980"/>
    <w:rsid w:val="004A6E10"/>
    <w:rsid w:val="004A735F"/>
    <w:rsid w:val="004A73F2"/>
    <w:rsid w:val="004A77B4"/>
    <w:rsid w:val="004B0216"/>
    <w:rsid w:val="004B0686"/>
    <w:rsid w:val="004B0787"/>
    <w:rsid w:val="004B0839"/>
    <w:rsid w:val="004B1381"/>
    <w:rsid w:val="004B14B2"/>
    <w:rsid w:val="004B1673"/>
    <w:rsid w:val="004B196E"/>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44"/>
    <w:rsid w:val="004B676A"/>
    <w:rsid w:val="004B677D"/>
    <w:rsid w:val="004B67F0"/>
    <w:rsid w:val="004B68AB"/>
    <w:rsid w:val="004B7147"/>
    <w:rsid w:val="004B71C9"/>
    <w:rsid w:val="004B75CF"/>
    <w:rsid w:val="004B7ED6"/>
    <w:rsid w:val="004C00B8"/>
    <w:rsid w:val="004C0435"/>
    <w:rsid w:val="004C07C4"/>
    <w:rsid w:val="004C0A55"/>
    <w:rsid w:val="004C13F9"/>
    <w:rsid w:val="004C2188"/>
    <w:rsid w:val="004C252D"/>
    <w:rsid w:val="004C25F8"/>
    <w:rsid w:val="004C2750"/>
    <w:rsid w:val="004C2A27"/>
    <w:rsid w:val="004C326A"/>
    <w:rsid w:val="004C328F"/>
    <w:rsid w:val="004C3DEC"/>
    <w:rsid w:val="004C3EA8"/>
    <w:rsid w:val="004C4189"/>
    <w:rsid w:val="004C4C04"/>
    <w:rsid w:val="004C4E36"/>
    <w:rsid w:val="004C4ECC"/>
    <w:rsid w:val="004C5073"/>
    <w:rsid w:val="004C5D5B"/>
    <w:rsid w:val="004C5D76"/>
    <w:rsid w:val="004C5F58"/>
    <w:rsid w:val="004C61C2"/>
    <w:rsid w:val="004C62A4"/>
    <w:rsid w:val="004C632B"/>
    <w:rsid w:val="004C6C3F"/>
    <w:rsid w:val="004C6E3E"/>
    <w:rsid w:val="004C731B"/>
    <w:rsid w:val="004D0070"/>
    <w:rsid w:val="004D020D"/>
    <w:rsid w:val="004D08E8"/>
    <w:rsid w:val="004D0B37"/>
    <w:rsid w:val="004D0F38"/>
    <w:rsid w:val="004D1461"/>
    <w:rsid w:val="004D1AD5"/>
    <w:rsid w:val="004D1AE9"/>
    <w:rsid w:val="004D1B94"/>
    <w:rsid w:val="004D1CF4"/>
    <w:rsid w:val="004D2F8C"/>
    <w:rsid w:val="004D3CEA"/>
    <w:rsid w:val="004D3F37"/>
    <w:rsid w:val="004D41CF"/>
    <w:rsid w:val="004D464F"/>
    <w:rsid w:val="004D4E5B"/>
    <w:rsid w:val="004D4F26"/>
    <w:rsid w:val="004D50E1"/>
    <w:rsid w:val="004D52AD"/>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D79"/>
    <w:rsid w:val="004E5E37"/>
    <w:rsid w:val="004E5ECA"/>
    <w:rsid w:val="004E6C71"/>
    <w:rsid w:val="004E75E2"/>
    <w:rsid w:val="004E76FB"/>
    <w:rsid w:val="004F0547"/>
    <w:rsid w:val="004F0E70"/>
    <w:rsid w:val="004F11D2"/>
    <w:rsid w:val="004F173B"/>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BD8"/>
    <w:rsid w:val="004F6BE3"/>
    <w:rsid w:val="004F7134"/>
    <w:rsid w:val="004F725E"/>
    <w:rsid w:val="004F75F7"/>
    <w:rsid w:val="004F79CA"/>
    <w:rsid w:val="004F7DAB"/>
    <w:rsid w:val="004F7FA9"/>
    <w:rsid w:val="00500EE4"/>
    <w:rsid w:val="00501114"/>
    <w:rsid w:val="00501192"/>
    <w:rsid w:val="00501645"/>
    <w:rsid w:val="00501664"/>
    <w:rsid w:val="00501C4F"/>
    <w:rsid w:val="00502159"/>
    <w:rsid w:val="00502939"/>
    <w:rsid w:val="00502B39"/>
    <w:rsid w:val="00502B71"/>
    <w:rsid w:val="00502CE3"/>
    <w:rsid w:val="00502EFC"/>
    <w:rsid w:val="00502F00"/>
    <w:rsid w:val="00502F59"/>
    <w:rsid w:val="0050425E"/>
    <w:rsid w:val="00504524"/>
    <w:rsid w:val="00504BB9"/>
    <w:rsid w:val="00504F92"/>
    <w:rsid w:val="00504F99"/>
    <w:rsid w:val="00505784"/>
    <w:rsid w:val="00505FCD"/>
    <w:rsid w:val="0050612D"/>
    <w:rsid w:val="00507068"/>
    <w:rsid w:val="00507308"/>
    <w:rsid w:val="00510403"/>
    <w:rsid w:val="00510A67"/>
    <w:rsid w:val="00510C3E"/>
    <w:rsid w:val="00510C7C"/>
    <w:rsid w:val="00511BAB"/>
    <w:rsid w:val="00511C7D"/>
    <w:rsid w:val="00511D42"/>
    <w:rsid w:val="00511E41"/>
    <w:rsid w:val="00512261"/>
    <w:rsid w:val="00512674"/>
    <w:rsid w:val="0051351B"/>
    <w:rsid w:val="00513C83"/>
    <w:rsid w:val="00513EE8"/>
    <w:rsid w:val="00514275"/>
    <w:rsid w:val="00514D60"/>
    <w:rsid w:val="00514EC1"/>
    <w:rsid w:val="00515849"/>
    <w:rsid w:val="00515A79"/>
    <w:rsid w:val="00515FA4"/>
    <w:rsid w:val="005163B3"/>
    <w:rsid w:val="005163C3"/>
    <w:rsid w:val="005164D7"/>
    <w:rsid w:val="0051799E"/>
    <w:rsid w:val="00517D9C"/>
    <w:rsid w:val="00517DA7"/>
    <w:rsid w:val="00520852"/>
    <w:rsid w:val="005209AB"/>
    <w:rsid w:val="005212C6"/>
    <w:rsid w:val="0052139D"/>
    <w:rsid w:val="00521730"/>
    <w:rsid w:val="00522594"/>
    <w:rsid w:val="00522AAF"/>
    <w:rsid w:val="00522B32"/>
    <w:rsid w:val="00524056"/>
    <w:rsid w:val="005240D6"/>
    <w:rsid w:val="005245D8"/>
    <w:rsid w:val="00526A6C"/>
    <w:rsid w:val="00526EAA"/>
    <w:rsid w:val="00527765"/>
    <w:rsid w:val="0052782F"/>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4C7"/>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EE"/>
    <w:rsid w:val="00555A24"/>
    <w:rsid w:val="00556886"/>
    <w:rsid w:val="00557805"/>
    <w:rsid w:val="00557BF0"/>
    <w:rsid w:val="0056001F"/>
    <w:rsid w:val="005602F7"/>
    <w:rsid w:val="00560624"/>
    <w:rsid w:val="00560BB0"/>
    <w:rsid w:val="00561071"/>
    <w:rsid w:val="005618B6"/>
    <w:rsid w:val="0056267A"/>
    <w:rsid w:val="005629AE"/>
    <w:rsid w:val="00562AD2"/>
    <w:rsid w:val="00562DB5"/>
    <w:rsid w:val="0056300A"/>
    <w:rsid w:val="005630E5"/>
    <w:rsid w:val="00563FD3"/>
    <w:rsid w:val="00564919"/>
    <w:rsid w:val="00564A3B"/>
    <w:rsid w:val="005652D7"/>
    <w:rsid w:val="00565FF9"/>
    <w:rsid w:val="005660C7"/>
    <w:rsid w:val="005661D2"/>
    <w:rsid w:val="005666AA"/>
    <w:rsid w:val="00566AB9"/>
    <w:rsid w:val="00566AF7"/>
    <w:rsid w:val="00566B49"/>
    <w:rsid w:val="005674D1"/>
    <w:rsid w:val="00567C29"/>
    <w:rsid w:val="00567C76"/>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2AD9"/>
    <w:rsid w:val="00583400"/>
    <w:rsid w:val="005838EB"/>
    <w:rsid w:val="00583D81"/>
    <w:rsid w:val="0058402A"/>
    <w:rsid w:val="00584E10"/>
    <w:rsid w:val="00585407"/>
    <w:rsid w:val="0058596B"/>
    <w:rsid w:val="00585ABD"/>
    <w:rsid w:val="00585BA1"/>
    <w:rsid w:val="00585EF4"/>
    <w:rsid w:val="005861E5"/>
    <w:rsid w:val="00586508"/>
    <w:rsid w:val="005865C1"/>
    <w:rsid w:val="005872FC"/>
    <w:rsid w:val="00587F67"/>
    <w:rsid w:val="0059172A"/>
    <w:rsid w:val="00591A4B"/>
    <w:rsid w:val="00592262"/>
    <w:rsid w:val="00592353"/>
    <w:rsid w:val="00592B86"/>
    <w:rsid w:val="00592F81"/>
    <w:rsid w:val="00593295"/>
    <w:rsid w:val="005939A6"/>
    <w:rsid w:val="00593FA1"/>
    <w:rsid w:val="0059455B"/>
    <w:rsid w:val="005951C7"/>
    <w:rsid w:val="005954D7"/>
    <w:rsid w:val="005956AB"/>
    <w:rsid w:val="00595F46"/>
    <w:rsid w:val="00596681"/>
    <w:rsid w:val="00596CE2"/>
    <w:rsid w:val="00596D63"/>
    <w:rsid w:val="00597EBD"/>
    <w:rsid w:val="005A00E5"/>
    <w:rsid w:val="005A025F"/>
    <w:rsid w:val="005A02A0"/>
    <w:rsid w:val="005A04F8"/>
    <w:rsid w:val="005A06E0"/>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D1"/>
    <w:rsid w:val="005A50AF"/>
    <w:rsid w:val="005A5F4D"/>
    <w:rsid w:val="005A67A9"/>
    <w:rsid w:val="005A6980"/>
    <w:rsid w:val="005A6E96"/>
    <w:rsid w:val="005A7055"/>
    <w:rsid w:val="005A7A37"/>
    <w:rsid w:val="005B04BD"/>
    <w:rsid w:val="005B06FB"/>
    <w:rsid w:val="005B08BC"/>
    <w:rsid w:val="005B0FDF"/>
    <w:rsid w:val="005B1EE4"/>
    <w:rsid w:val="005B2410"/>
    <w:rsid w:val="005B2730"/>
    <w:rsid w:val="005B28AC"/>
    <w:rsid w:val="005B3396"/>
    <w:rsid w:val="005B4257"/>
    <w:rsid w:val="005B46B1"/>
    <w:rsid w:val="005B48F0"/>
    <w:rsid w:val="005B4E02"/>
    <w:rsid w:val="005B5B8B"/>
    <w:rsid w:val="005B5FBC"/>
    <w:rsid w:val="005B7021"/>
    <w:rsid w:val="005B7089"/>
    <w:rsid w:val="005B7301"/>
    <w:rsid w:val="005B74BB"/>
    <w:rsid w:val="005B7F8C"/>
    <w:rsid w:val="005C003B"/>
    <w:rsid w:val="005C0296"/>
    <w:rsid w:val="005C170E"/>
    <w:rsid w:val="005C1CAD"/>
    <w:rsid w:val="005C2159"/>
    <w:rsid w:val="005C324E"/>
    <w:rsid w:val="005C3747"/>
    <w:rsid w:val="005C3D12"/>
    <w:rsid w:val="005C4104"/>
    <w:rsid w:val="005C4474"/>
    <w:rsid w:val="005C4574"/>
    <w:rsid w:val="005C4781"/>
    <w:rsid w:val="005C4B68"/>
    <w:rsid w:val="005C4DBC"/>
    <w:rsid w:val="005C5A12"/>
    <w:rsid w:val="005C5A45"/>
    <w:rsid w:val="005C5C5D"/>
    <w:rsid w:val="005C6DA6"/>
    <w:rsid w:val="005C6F75"/>
    <w:rsid w:val="005C7204"/>
    <w:rsid w:val="005C729A"/>
    <w:rsid w:val="005C7BFF"/>
    <w:rsid w:val="005D0E44"/>
    <w:rsid w:val="005D1BA9"/>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503A"/>
    <w:rsid w:val="005E57E2"/>
    <w:rsid w:val="005E6074"/>
    <w:rsid w:val="005E6260"/>
    <w:rsid w:val="005E6D2D"/>
    <w:rsid w:val="005E760A"/>
    <w:rsid w:val="005E7DC1"/>
    <w:rsid w:val="005F0EC8"/>
    <w:rsid w:val="005F0F68"/>
    <w:rsid w:val="005F10B7"/>
    <w:rsid w:val="005F1615"/>
    <w:rsid w:val="005F1894"/>
    <w:rsid w:val="005F18B3"/>
    <w:rsid w:val="005F1A42"/>
    <w:rsid w:val="005F1AD9"/>
    <w:rsid w:val="005F1F81"/>
    <w:rsid w:val="005F1FA0"/>
    <w:rsid w:val="005F2468"/>
    <w:rsid w:val="005F279F"/>
    <w:rsid w:val="005F3780"/>
    <w:rsid w:val="005F3E3F"/>
    <w:rsid w:val="005F3FCB"/>
    <w:rsid w:val="005F515B"/>
    <w:rsid w:val="005F515E"/>
    <w:rsid w:val="005F5F38"/>
    <w:rsid w:val="005F64E9"/>
    <w:rsid w:val="005F6FD9"/>
    <w:rsid w:val="005F70CC"/>
    <w:rsid w:val="005F7320"/>
    <w:rsid w:val="005F74A8"/>
    <w:rsid w:val="005F7E5B"/>
    <w:rsid w:val="00600333"/>
    <w:rsid w:val="00600C8F"/>
    <w:rsid w:val="0060146E"/>
    <w:rsid w:val="00601BB5"/>
    <w:rsid w:val="00602491"/>
    <w:rsid w:val="006026D9"/>
    <w:rsid w:val="0060284E"/>
    <w:rsid w:val="00603099"/>
    <w:rsid w:val="0060353D"/>
    <w:rsid w:val="00603893"/>
    <w:rsid w:val="006039F5"/>
    <w:rsid w:val="00603D49"/>
    <w:rsid w:val="00603DCE"/>
    <w:rsid w:val="00604083"/>
    <w:rsid w:val="00604D80"/>
    <w:rsid w:val="0060545D"/>
    <w:rsid w:val="0060572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694"/>
    <w:rsid w:val="006269EB"/>
    <w:rsid w:val="00626CC1"/>
    <w:rsid w:val="00627EF1"/>
    <w:rsid w:val="00630230"/>
    <w:rsid w:val="0063196D"/>
    <w:rsid w:val="0063207C"/>
    <w:rsid w:val="00632166"/>
    <w:rsid w:val="00632A48"/>
    <w:rsid w:val="006331B9"/>
    <w:rsid w:val="006332D2"/>
    <w:rsid w:val="0063369A"/>
    <w:rsid w:val="0063428C"/>
    <w:rsid w:val="00634A11"/>
    <w:rsid w:val="006355EA"/>
    <w:rsid w:val="0063593E"/>
    <w:rsid w:val="00635943"/>
    <w:rsid w:val="00635D74"/>
    <w:rsid w:val="00635DD0"/>
    <w:rsid w:val="0063665F"/>
    <w:rsid w:val="00636A2C"/>
    <w:rsid w:val="00636AFB"/>
    <w:rsid w:val="00636E04"/>
    <w:rsid w:val="006376FB"/>
    <w:rsid w:val="006377F6"/>
    <w:rsid w:val="006379B2"/>
    <w:rsid w:val="00637A57"/>
    <w:rsid w:val="00637CD7"/>
    <w:rsid w:val="0064062F"/>
    <w:rsid w:val="0064098E"/>
    <w:rsid w:val="0064159E"/>
    <w:rsid w:val="00641771"/>
    <w:rsid w:val="00642799"/>
    <w:rsid w:val="0064280F"/>
    <w:rsid w:val="00642C53"/>
    <w:rsid w:val="00642FD1"/>
    <w:rsid w:val="0064349E"/>
    <w:rsid w:val="00643835"/>
    <w:rsid w:val="00643A51"/>
    <w:rsid w:val="00644487"/>
    <w:rsid w:val="006448D7"/>
    <w:rsid w:val="00644DE1"/>
    <w:rsid w:val="00645238"/>
    <w:rsid w:val="0064523E"/>
    <w:rsid w:val="00645373"/>
    <w:rsid w:val="0064540D"/>
    <w:rsid w:val="006454C1"/>
    <w:rsid w:val="00645E02"/>
    <w:rsid w:val="00645E5C"/>
    <w:rsid w:val="00646432"/>
    <w:rsid w:val="006466BA"/>
    <w:rsid w:val="00646711"/>
    <w:rsid w:val="00646D38"/>
    <w:rsid w:val="00646D76"/>
    <w:rsid w:val="00647C6D"/>
    <w:rsid w:val="00650589"/>
    <w:rsid w:val="006509F7"/>
    <w:rsid w:val="00650C7C"/>
    <w:rsid w:val="00651096"/>
    <w:rsid w:val="00651A7D"/>
    <w:rsid w:val="0065243A"/>
    <w:rsid w:val="00652A96"/>
    <w:rsid w:val="00653FC7"/>
    <w:rsid w:val="00654909"/>
    <w:rsid w:val="00655386"/>
    <w:rsid w:val="006558F0"/>
    <w:rsid w:val="006567BC"/>
    <w:rsid w:val="00656C46"/>
    <w:rsid w:val="00657187"/>
    <w:rsid w:val="00660703"/>
    <w:rsid w:val="00661BF3"/>
    <w:rsid w:val="0066280D"/>
    <w:rsid w:val="006632DB"/>
    <w:rsid w:val="006636AD"/>
    <w:rsid w:val="006637C9"/>
    <w:rsid w:val="00663E69"/>
    <w:rsid w:val="006646E2"/>
    <w:rsid w:val="006657AE"/>
    <w:rsid w:val="006660DE"/>
    <w:rsid w:val="00666596"/>
    <w:rsid w:val="00666B70"/>
    <w:rsid w:val="00670033"/>
    <w:rsid w:val="006706A3"/>
    <w:rsid w:val="0067088A"/>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01"/>
    <w:rsid w:val="0067674D"/>
    <w:rsid w:val="00677345"/>
    <w:rsid w:val="00677C4C"/>
    <w:rsid w:val="00677CDB"/>
    <w:rsid w:val="006813FD"/>
    <w:rsid w:val="006816DD"/>
    <w:rsid w:val="006825E1"/>
    <w:rsid w:val="00682616"/>
    <w:rsid w:val="00682CA0"/>
    <w:rsid w:val="00683211"/>
    <w:rsid w:val="0068328C"/>
    <w:rsid w:val="006833AF"/>
    <w:rsid w:val="00683974"/>
    <w:rsid w:val="00683A12"/>
    <w:rsid w:val="00683AC9"/>
    <w:rsid w:val="006840D4"/>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268"/>
    <w:rsid w:val="006A1445"/>
    <w:rsid w:val="006A1687"/>
    <w:rsid w:val="006A260C"/>
    <w:rsid w:val="006A3E9C"/>
    <w:rsid w:val="006A3EC6"/>
    <w:rsid w:val="006A3F7C"/>
    <w:rsid w:val="006A412E"/>
    <w:rsid w:val="006A611C"/>
    <w:rsid w:val="006A668D"/>
    <w:rsid w:val="006A678A"/>
    <w:rsid w:val="006A6AA2"/>
    <w:rsid w:val="006A6DF0"/>
    <w:rsid w:val="006A715E"/>
    <w:rsid w:val="006A7292"/>
    <w:rsid w:val="006A798C"/>
    <w:rsid w:val="006A7A26"/>
    <w:rsid w:val="006A7B92"/>
    <w:rsid w:val="006B0BBB"/>
    <w:rsid w:val="006B0E67"/>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151C"/>
    <w:rsid w:val="006C1800"/>
    <w:rsid w:val="006C1AF3"/>
    <w:rsid w:val="006C2EBE"/>
    <w:rsid w:val="006C3073"/>
    <w:rsid w:val="006C32B9"/>
    <w:rsid w:val="006C367B"/>
    <w:rsid w:val="006C3B46"/>
    <w:rsid w:val="006C3E01"/>
    <w:rsid w:val="006C4AC1"/>
    <w:rsid w:val="006C4AE2"/>
    <w:rsid w:val="006C5467"/>
    <w:rsid w:val="006C5B02"/>
    <w:rsid w:val="006C6898"/>
    <w:rsid w:val="006C6C9C"/>
    <w:rsid w:val="006C7236"/>
    <w:rsid w:val="006C7617"/>
    <w:rsid w:val="006C7656"/>
    <w:rsid w:val="006C76D9"/>
    <w:rsid w:val="006C78BD"/>
    <w:rsid w:val="006C79D1"/>
    <w:rsid w:val="006D02E3"/>
    <w:rsid w:val="006D0793"/>
    <w:rsid w:val="006D0931"/>
    <w:rsid w:val="006D0B51"/>
    <w:rsid w:val="006D0BCD"/>
    <w:rsid w:val="006D104F"/>
    <w:rsid w:val="006D1BAB"/>
    <w:rsid w:val="006D1CFC"/>
    <w:rsid w:val="006D2509"/>
    <w:rsid w:val="006D25AD"/>
    <w:rsid w:val="006D32DC"/>
    <w:rsid w:val="006D3CAB"/>
    <w:rsid w:val="006D3FAA"/>
    <w:rsid w:val="006D41C5"/>
    <w:rsid w:val="006D441D"/>
    <w:rsid w:val="006D45A8"/>
    <w:rsid w:val="006D46E7"/>
    <w:rsid w:val="006D49FE"/>
    <w:rsid w:val="006D50A9"/>
    <w:rsid w:val="006D54A8"/>
    <w:rsid w:val="006D5513"/>
    <w:rsid w:val="006D55D2"/>
    <w:rsid w:val="006D569F"/>
    <w:rsid w:val="006D580E"/>
    <w:rsid w:val="006D6095"/>
    <w:rsid w:val="006D66E2"/>
    <w:rsid w:val="006D6EAE"/>
    <w:rsid w:val="006D6F8C"/>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9A7"/>
    <w:rsid w:val="006E3A1B"/>
    <w:rsid w:val="006E4732"/>
    <w:rsid w:val="006E541C"/>
    <w:rsid w:val="006E5CBD"/>
    <w:rsid w:val="006E6188"/>
    <w:rsid w:val="006E78E7"/>
    <w:rsid w:val="006E78F9"/>
    <w:rsid w:val="006E7B10"/>
    <w:rsid w:val="006E7C57"/>
    <w:rsid w:val="006F046C"/>
    <w:rsid w:val="006F0A2C"/>
    <w:rsid w:val="006F0E43"/>
    <w:rsid w:val="006F1241"/>
    <w:rsid w:val="006F1581"/>
    <w:rsid w:val="006F1DFD"/>
    <w:rsid w:val="006F1F52"/>
    <w:rsid w:val="006F27E3"/>
    <w:rsid w:val="006F2925"/>
    <w:rsid w:val="006F3648"/>
    <w:rsid w:val="006F36C0"/>
    <w:rsid w:val="006F372D"/>
    <w:rsid w:val="006F3E23"/>
    <w:rsid w:val="006F476E"/>
    <w:rsid w:val="006F4B61"/>
    <w:rsid w:val="006F514C"/>
    <w:rsid w:val="006F53C3"/>
    <w:rsid w:val="006F6B76"/>
    <w:rsid w:val="006F6ED2"/>
    <w:rsid w:val="006F75AB"/>
    <w:rsid w:val="006F795C"/>
    <w:rsid w:val="007001CA"/>
    <w:rsid w:val="00700250"/>
    <w:rsid w:val="007011C7"/>
    <w:rsid w:val="007013CF"/>
    <w:rsid w:val="007016BD"/>
    <w:rsid w:val="00701B06"/>
    <w:rsid w:val="00701F0C"/>
    <w:rsid w:val="00702228"/>
    <w:rsid w:val="0070223D"/>
    <w:rsid w:val="00703533"/>
    <w:rsid w:val="0070361A"/>
    <w:rsid w:val="00703C95"/>
    <w:rsid w:val="00703D04"/>
    <w:rsid w:val="007047FD"/>
    <w:rsid w:val="0070508A"/>
    <w:rsid w:val="0070554E"/>
    <w:rsid w:val="007055D7"/>
    <w:rsid w:val="00705877"/>
    <w:rsid w:val="007060EB"/>
    <w:rsid w:val="00706272"/>
    <w:rsid w:val="00706C0D"/>
    <w:rsid w:val="007070DB"/>
    <w:rsid w:val="007071C8"/>
    <w:rsid w:val="007078D1"/>
    <w:rsid w:val="007078F9"/>
    <w:rsid w:val="00707BA0"/>
    <w:rsid w:val="00707BE1"/>
    <w:rsid w:val="007107AE"/>
    <w:rsid w:val="00710DC5"/>
    <w:rsid w:val="007113FD"/>
    <w:rsid w:val="00711468"/>
    <w:rsid w:val="00711A4E"/>
    <w:rsid w:val="0071261A"/>
    <w:rsid w:val="007127B0"/>
    <w:rsid w:val="00712B89"/>
    <w:rsid w:val="0071339C"/>
    <w:rsid w:val="00713943"/>
    <w:rsid w:val="00713A2B"/>
    <w:rsid w:val="00713B8B"/>
    <w:rsid w:val="007146EA"/>
    <w:rsid w:val="00714843"/>
    <w:rsid w:val="00714AA3"/>
    <w:rsid w:val="00715120"/>
    <w:rsid w:val="007152DD"/>
    <w:rsid w:val="007157F1"/>
    <w:rsid w:val="00715938"/>
    <w:rsid w:val="00715CE6"/>
    <w:rsid w:val="00715D35"/>
    <w:rsid w:val="00715FC2"/>
    <w:rsid w:val="00716446"/>
    <w:rsid w:val="00716636"/>
    <w:rsid w:val="007170CA"/>
    <w:rsid w:val="0071721A"/>
    <w:rsid w:val="00717CAF"/>
    <w:rsid w:val="00717F41"/>
    <w:rsid w:val="00720653"/>
    <w:rsid w:val="00720F92"/>
    <w:rsid w:val="00721091"/>
    <w:rsid w:val="007215E9"/>
    <w:rsid w:val="00721798"/>
    <w:rsid w:val="00721AE0"/>
    <w:rsid w:val="00721C7A"/>
    <w:rsid w:val="00721E83"/>
    <w:rsid w:val="007220A8"/>
    <w:rsid w:val="00722401"/>
    <w:rsid w:val="00722494"/>
    <w:rsid w:val="007226EE"/>
    <w:rsid w:val="00722A64"/>
    <w:rsid w:val="00722C14"/>
    <w:rsid w:val="00722D64"/>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7C6"/>
    <w:rsid w:val="007308B9"/>
    <w:rsid w:val="00731610"/>
    <w:rsid w:val="00732785"/>
    <w:rsid w:val="0073327B"/>
    <w:rsid w:val="007336DA"/>
    <w:rsid w:val="00734B17"/>
    <w:rsid w:val="00734F28"/>
    <w:rsid w:val="00735235"/>
    <w:rsid w:val="007358C4"/>
    <w:rsid w:val="00735D34"/>
    <w:rsid w:val="0073663A"/>
    <w:rsid w:val="007368F3"/>
    <w:rsid w:val="007369C6"/>
    <w:rsid w:val="00736B7E"/>
    <w:rsid w:val="00737C09"/>
    <w:rsid w:val="00737C19"/>
    <w:rsid w:val="007405B9"/>
    <w:rsid w:val="007410D8"/>
    <w:rsid w:val="00741130"/>
    <w:rsid w:val="0074127B"/>
    <w:rsid w:val="00741340"/>
    <w:rsid w:val="00741A29"/>
    <w:rsid w:val="00741D42"/>
    <w:rsid w:val="00742251"/>
    <w:rsid w:val="00742DB3"/>
    <w:rsid w:val="00743CFC"/>
    <w:rsid w:val="00743E14"/>
    <w:rsid w:val="007443BD"/>
    <w:rsid w:val="00744B0E"/>
    <w:rsid w:val="0074513E"/>
    <w:rsid w:val="00745226"/>
    <w:rsid w:val="00745C97"/>
    <w:rsid w:val="007467BB"/>
    <w:rsid w:val="00747259"/>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53B0"/>
    <w:rsid w:val="00755661"/>
    <w:rsid w:val="0075611C"/>
    <w:rsid w:val="00756158"/>
    <w:rsid w:val="0075623B"/>
    <w:rsid w:val="0075647B"/>
    <w:rsid w:val="00757439"/>
    <w:rsid w:val="00757627"/>
    <w:rsid w:val="007578CD"/>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60A1"/>
    <w:rsid w:val="007662C4"/>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265"/>
    <w:rsid w:val="007748AF"/>
    <w:rsid w:val="00774DD8"/>
    <w:rsid w:val="00774F5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F2D"/>
    <w:rsid w:val="00784A2E"/>
    <w:rsid w:val="0078550E"/>
    <w:rsid w:val="00785A15"/>
    <w:rsid w:val="00785FD4"/>
    <w:rsid w:val="00786DA5"/>
    <w:rsid w:val="00787AC8"/>
    <w:rsid w:val="00787CCF"/>
    <w:rsid w:val="007902B7"/>
    <w:rsid w:val="00790506"/>
    <w:rsid w:val="00790B8C"/>
    <w:rsid w:val="00791143"/>
    <w:rsid w:val="00791251"/>
    <w:rsid w:val="00791E9B"/>
    <w:rsid w:val="00791F8B"/>
    <w:rsid w:val="0079213E"/>
    <w:rsid w:val="00792BFA"/>
    <w:rsid w:val="00793084"/>
    <w:rsid w:val="0079386D"/>
    <w:rsid w:val="00793946"/>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4DD2"/>
    <w:rsid w:val="007A4E8F"/>
    <w:rsid w:val="007A6049"/>
    <w:rsid w:val="007A7B16"/>
    <w:rsid w:val="007A7C1D"/>
    <w:rsid w:val="007B0733"/>
    <w:rsid w:val="007B0956"/>
    <w:rsid w:val="007B09B9"/>
    <w:rsid w:val="007B0BF0"/>
    <w:rsid w:val="007B10E8"/>
    <w:rsid w:val="007B151D"/>
    <w:rsid w:val="007B18BA"/>
    <w:rsid w:val="007B1991"/>
    <w:rsid w:val="007B1D60"/>
    <w:rsid w:val="007B22B0"/>
    <w:rsid w:val="007B33E9"/>
    <w:rsid w:val="007B3718"/>
    <w:rsid w:val="007B393F"/>
    <w:rsid w:val="007B3A85"/>
    <w:rsid w:val="007B3D86"/>
    <w:rsid w:val="007B46D0"/>
    <w:rsid w:val="007B4D0E"/>
    <w:rsid w:val="007B520B"/>
    <w:rsid w:val="007B5267"/>
    <w:rsid w:val="007B5C9A"/>
    <w:rsid w:val="007B5DC5"/>
    <w:rsid w:val="007B700C"/>
    <w:rsid w:val="007B7618"/>
    <w:rsid w:val="007B7AC0"/>
    <w:rsid w:val="007C01CD"/>
    <w:rsid w:val="007C0525"/>
    <w:rsid w:val="007C053D"/>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0E6B"/>
    <w:rsid w:val="007D28C0"/>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23AB"/>
    <w:rsid w:val="007E254D"/>
    <w:rsid w:val="007E266E"/>
    <w:rsid w:val="007E2C0C"/>
    <w:rsid w:val="007E2E1C"/>
    <w:rsid w:val="007E35BF"/>
    <w:rsid w:val="007E4044"/>
    <w:rsid w:val="007E49F2"/>
    <w:rsid w:val="007E4C40"/>
    <w:rsid w:val="007E4E8B"/>
    <w:rsid w:val="007E528C"/>
    <w:rsid w:val="007E5533"/>
    <w:rsid w:val="007E650B"/>
    <w:rsid w:val="007E6669"/>
    <w:rsid w:val="007E6DBF"/>
    <w:rsid w:val="007E7517"/>
    <w:rsid w:val="007E77A4"/>
    <w:rsid w:val="007E7A6C"/>
    <w:rsid w:val="007E7D4D"/>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5C4"/>
    <w:rsid w:val="00805DCB"/>
    <w:rsid w:val="00806DBB"/>
    <w:rsid w:val="0080711F"/>
    <w:rsid w:val="00807162"/>
    <w:rsid w:val="00807196"/>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5B0"/>
    <w:rsid w:val="00815E0D"/>
    <w:rsid w:val="008161F2"/>
    <w:rsid w:val="0081689F"/>
    <w:rsid w:val="00817A80"/>
    <w:rsid w:val="00817BF2"/>
    <w:rsid w:val="00817E75"/>
    <w:rsid w:val="00820FCB"/>
    <w:rsid w:val="008212BE"/>
    <w:rsid w:val="00821A11"/>
    <w:rsid w:val="00821A21"/>
    <w:rsid w:val="00821FEF"/>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3C2F"/>
    <w:rsid w:val="00835653"/>
    <w:rsid w:val="00835BEF"/>
    <w:rsid w:val="00835C91"/>
    <w:rsid w:val="0083664A"/>
    <w:rsid w:val="00836854"/>
    <w:rsid w:val="00836A5B"/>
    <w:rsid w:val="00837389"/>
    <w:rsid w:val="0083746C"/>
    <w:rsid w:val="00837638"/>
    <w:rsid w:val="00837B59"/>
    <w:rsid w:val="00837CF8"/>
    <w:rsid w:val="00837FFE"/>
    <w:rsid w:val="0084019B"/>
    <w:rsid w:val="008402A6"/>
    <w:rsid w:val="00841367"/>
    <w:rsid w:val="00841BA1"/>
    <w:rsid w:val="00841F89"/>
    <w:rsid w:val="0084248B"/>
    <w:rsid w:val="008424A0"/>
    <w:rsid w:val="0084279C"/>
    <w:rsid w:val="008427B7"/>
    <w:rsid w:val="00842C58"/>
    <w:rsid w:val="0084323C"/>
    <w:rsid w:val="00843417"/>
    <w:rsid w:val="00844046"/>
    <w:rsid w:val="00844616"/>
    <w:rsid w:val="00844870"/>
    <w:rsid w:val="00844D26"/>
    <w:rsid w:val="00844DC9"/>
    <w:rsid w:val="00844F36"/>
    <w:rsid w:val="00845037"/>
    <w:rsid w:val="0084595A"/>
    <w:rsid w:val="00845EEA"/>
    <w:rsid w:val="00846501"/>
    <w:rsid w:val="008465AA"/>
    <w:rsid w:val="00846AAA"/>
    <w:rsid w:val="00846C92"/>
    <w:rsid w:val="00846E49"/>
    <w:rsid w:val="00847894"/>
    <w:rsid w:val="008500BA"/>
    <w:rsid w:val="008501C8"/>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1BAD"/>
    <w:rsid w:val="0088227C"/>
    <w:rsid w:val="00882362"/>
    <w:rsid w:val="00882D41"/>
    <w:rsid w:val="0088316D"/>
    <w:rsid w:val="008831CC"/>
    <w:rsid w:val="00883769"/>
    <w:rsid w:val="00883CF3"/>
    <w:rsid w:val="00883EC7"/>
    <w:rsid w:val="00883FEF"/>
    <w:rsid w:val="00884234"/>
    <w:rsid w:val="00884DA0"/>
    <w:rsid w:val="00884FF4"/>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9E3"/>
    <w:rsid w:val="00897BB1"/>
    <w:rsid w:val="008A026C"/>
    <w:rsid w:val="008A0FB1"/>
    <w:rsid w:val="008A0FB5"/>
    <w:rsid w:val="008A177C"/>
    <w:rsid w:val="008A18D6"/>
    <w:rsid w:val="008A2047"/>
    <w:rsid w:val="008A3001"/>
    <w:rsid w:val="008A3109"/>
    <w:rsid w:val="008A37E7"/>
    <w:rsid w:val="008A46D9"/>
    <w:rsid w:val="008A49A0"/>
    <w:rsid w:val="008A4CB9"/>
    <w:rsid w:val="008A4D6D"/>
    <w:rsid w:val="008A52FC"/>
    <w:rsid w:val="008A5431"/>
    <w:rsid w:val="008A5963"/>
    <w:rsid w:val="008A5B52"/>
    <w:rsid w:val="008A679C"/>
    <w:rsid w:val="008A68A8"/>
    <w:rsid w:val="008A7A41"/>
    <w:rsid w:val="008B02D6"/>
    <w:rsid w:val="008B0379"/>
    <w:rsid w:val="008B0730"/>
    <w:rsid w:val="008B081C"/>
    <w:rsid w:val="008B086E"/>
    <w:rsid w:val="008B13B8"/>
    <w:rsid w:val="008B23FD"/>
    <w:rsid w:val="008B2574"/>
    <w:rsid w:val="008B3D25"/>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D59"/>
    <w:rsid w:val="008C1DFC"/>
    <w:rsid w:val="008C204F"/>
    <w:rsid w:val="008C217A"/>
    <w:rsid w:val="008C21D1"/>
    <w:rsid w:val="008C2707"/>
    <w:rsid w:val="008C28AB"/>
    <w:rsid w:val="008C2AFB"/>
    <w:rsid w:val="008C3034"/>
    <w:rsid w:val="008C39DD"/>
    <w:rsid w:val="008C43E7"/>
    <w:rsid w:val="008C4629"/>
    <w:rsid w:val="008C51D8"/>
    <w:rsid w:val="008C5995"/>
    <w:rsid w:val="008C5E6A"/>
    <w:rsid w:val="008C6131"/>
    <w:rsid w:val="008C6C26"/>
    <w:rsid w:val="008C7D0F"/>
    <w:rsid w:val="008D04FD"/>
    <w:rsid w:val="008D101E"/>
    <w:rsid w:val="008D155A"/>
    <w:rsid w:val="008D17C8"/>
    <w:rsid w:val="008D17FF"/>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E7F36"/>
    <w:rsid w:val="008F0137"/>
    <w:rsid w:val="008F05D0"/>
    <w:rsid w:val="008F0E78"/>
    <w:rsid w:val="008F0F18"/>
    <w:rsid w:val="008F1094"/>
    <w:rsid w:val="008F12A6"/>
    <w:rsid w:val="008F151C"/>
    <w:rsid w:val="008F1D33"/>
    <w:rsid w:val="008F1DAF"/>
    <w:rsid w:val="008F25DE"/>
    <w:rsid w:val="008F29AD"/>
    <w:rsid w:val="008F2F6C"/>
    <w:rsid w:val="008F432D"/>
    <w:rsid w:val="008F49E6"/>
    <w:rsid w:val="008F52DD"/>
    <w:rsid w:val="008F5426"/>
    <w:rsid w:val="008F570D"/>
    <w:rsid w:val="008F57F8"/>
    <w:rsid w:val="008F5CBD"/>
    <w:rsid w:val="008F5F03"/>
    <w:rsid w:val="008F69FA"/>
    <w:rsid w:val="008F72A8"/>
    <w:rsid w:val="008F792C"/>
    <w:rsid w:val="008F79F9"/>
    <w:rsid w:val="008F7DEA"/>
    <w:rsid w:val="00900123"/>
    <w:rsid w:val="00900E7B"/>
    <w:rsid w:val="0090134C"/>
    <w:rsid w:val="009019AB"/>
    <w:rsid w:val="00901A47"/>
    <w:rsid w:val="00901E67"/>
    <w:rsid w:val="00902314"/>
    <w:rsid w:val="00902476"/>
    <w:rsid w:val="009025CE"/>
    <w:rsid w:val="0090273E"/>
    <w:rsid w:val="00902953"/>
    <w:rsid w:val="009031D4"/>
    <w:rsid w:val="00904000"/>
    <w:rsid w:val="009049B1"/>
    <w:rsid w:val="00904B77"/>
    <w:rsid w:val="00905A05"/>
    <w:rsid w:val="0090629D"/>
    <w:rsid w:val="009063B5"/>
    <w:rsid w:val="0090669F"/>
    <w:rsid w:val="00906DE7"/>
    <w:rsid w:val="009073EE"/>
    <w:rsid w:val="0090778D"/>
    <w:rsid w:val="00907A1A"/>
    <w:rsid w:val="00910372"/>
    <w:rsid w:val="00911678"/>
    <w:rsid w:val="0091179E"/>
    <w:rsid w:val="009118AC"/>
    <w:rsid w:val="009128D2"/>
    <w:rsid w:val="00912A5B"/>
    <w:rsid w:val="00912BDD"/>
    <w:rsid w:val="00913039"/>
    <w:rsid w:val="00913486"/>
    <w:rsid w:val="00913A34"/>
    <w:rsid w:val="00913FF5"/>
    <w:rsid w:val="00914E44"/>
    <w:rsid w:val="00914EFA"/>
    <w:rsid w:val="00915273"/>
    <w:rsid w:val="00915B34"/>
    <w:rsid w:val="00915D31"/>
    <w:rsid w:val="00915D5C"/>
    <w:rsid w:val="00915F83"/>
    <w:rsid w:val="009172CB"/>
    <w:rsid w:val="009178AF"/>
    <w:rsid w:val="0092034E"/>
    <w:rsid w:val="009208E0"/>
    <w:rsid w:val="00920C25"/>
    <w:rsid w:val="00921AA7"/>
    <w:rsid w:val="00921D4B"/>
    <w:rsid w:val="009238BF"/>
    <w:rsid w:val="0092447F"/>
    <w:rsid w:val="0092454B"/>
    <w:rsid w:val="00924CBB"/>
    <w:rsid w:val="00925050"/>
    <w:rsid w:val="00926067"/>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E4"/>
    <w:rsid w:val="00944CC2"/>
    <w:rsid w:val="00944EB4"/>
    <w:rsid w:val="00945245"/>
    <w:rsid w:val="009452D4"/>
    <w:rsid w:val="00945414"/>
    <w:rsid w:val="00945639"/>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F45"/>
    <w:rsid w:val="009553CC"/>
    <w:rsid w:val="00955608"/>
    <w:rsid w:val="00956584"/>
    <w:rsid w:val="00956829"/>
    <w:rsid w:val="00956AFE"/>
    <w:rsid w:val="00956B46"/>
    <w:rsid w:val="0095774F"/>
    <w:rsid w:val="00957F15"/>
    <w:rsid w:val="00960493"/>
    <w:rsid w:val="00960EFB"/>
    <w:rsid w:val="009611B5"/>
    <w:rsid w:val="009618DB"/>
    <w:rsid w:val="00961A08"/>
    <w:rsid w:val="00961E63"/>
    <w:rsid w:val="009620A9"/>
    <w:rsid w:val="00962798"/>
    <w:rsid w:val="00963961"/>
    <w:rsid w:val="00964273"/>
    <w:rsid w:val="00964483"/>
    <w:rsid w:val="009649E2"/>
    <w:rsid w:val="00964E25"/>
    <w:rsid w:val="00965902"/>
    <w:rsid w:val="009660DB"/>
    <w:rsid w:val="009667C4"/>
    <w:rsid w:val="00966ECF"/>
    <w:rsid w:val="00966F22"/>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233A"/>
    <w:rsid w:val="00983A7B"/>
    <w:rsid w:val="00984426"/>
    <w:rsid w:val="009847F4"/>
    <w:rsid w:val="00985652"/>
    <w:rsid w:val="00985F1B"/>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3480"/>
    <w:rsid w:val="009942A5"/>
    <w:rsid w:val="009944A2"/>
    <w:rsid w:val="00994A65"/>
    <w:rsid w:val="00994FA9"/>
    <w:rsid w:val="009954E8"/>
    <w:rsid w:val="0099564B"/>
    <w:rsid w:val="00995999"/>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DAB"/>
    <w:rsid w:val="009A5810"/>
    <w:rsid w:val="009A5AF0"/>
    <w:rsid w:val="009A5FAF"/>
    <w:rsid w:val="009A60B2"/>
    <w:rsid w:val="009A6243"/>
    <w:rsid w:val="009A70C7"/>
    <w:rsid w:val="009A7642"/>
    <w:rsid w:val="009A7AE1"/>
    <w:rsid w:val="009B003C"/>
    <w:rsid w:val="009B040B"/>
    <w:rsid w:val="009B04BE"/>
    <w:rsid w:val="009B0AD5"/>
    <w:rsid w:val="009B1DD4"/>
    <w:rsid w:val="009B1F1E"/>
    <w:rsid w:val="009B1F67"/>
    <w:rsid w:val="009B229D"/>
    <w:rsid w:val="009B322E"/>
    <w:rsid w:val="009B3D82"/>
    <w:rsid w:val="009B468D"/>
    <w:rsid w:val="009B47FB"/>
    <w:rsid w:val="009B4AC9"/>
    <w:rsid w:val="009B4D7C"/>
    <w:rsid w:val="009B4E5A"/>
    <w:rsid w:val="009B570F"/>
    <w:rsid w:val="009B5B77"/>
    <w:rsid w:val="009B5C6A"/>
    <w:rsid w:val="009B61C5"/>
    <w:rsid w:val="009B61D0"/>
    <w:rsid w:val="009B659B"/>
    <w:rsid w:val="009B6A0A"/>
    <w:rsid w:val="009B6AEE"/>
    <w:rsid w:val="009B70B1"/>
    <w:rsid w:val="009B719C"/>
    <w:rsid w:val="009B7711"/>
    <w:rsid w:val="009C08FA"/>
    <w:rsid w:val="009C0CCB"/>
    <w:rsid w:val="009C0FBF"/>
    <w:rsid w:val="009C2298"/>
    <w:rsid w:val="009C2625"/>
    <w:rsid w:val="009C29A5"/>
    <w:rsid w:val="009C2E1A"/>
    <w:rsid w:val="009C316F"/>
    <w:rsid w:val="009C39C2"/>
    <w:rsid w:val="009C466F"/>
    <w:rsid w:val="009C5458"/>
    <w:rsid w:val="009C5A8A"/>
    <w:rsid w:val="009C718E"/>
    <w:rsid w:val="009C7CA0"/>
    <w:rsid w:val="009D038C"/>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EFC"/>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62AF"/>
    <w:rsid w:val="009E6EE9"/>
    <w:rsid w:val="009E79B4"/>
    <w:rsid w:val="009E7E61"/>
    <w:rsid w:val="009F0B64"/>
    <w:rsid w:val="009F10A6"/>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10F"/>
    <w:rsid w:val="00A06416"/>
    <w:rsid w:val="00A065FA"/>
    <w:rsid w:val="00A07128"/>
    <w:rsid w:val="00A0725F"/>
    <w:rsid w:val="00A07D91"/>
    <w:rsid w:val="00A1007C"/>
    <w:rsid w:val="00A10DCA"/>
    <w:rsid w:val="00A10EFD"/>
    <w:rsid w:val="00A11973"/>
    <w:rsid w:val="00A125AF"/>
    <w:rsid w:val="00A12BD6"/>
    <w:rsid w:val="00A132F8"/>
    <w:rsid w:val="00A138D9"/>
    <w:rsid w:val="00A14D65"/>
    <w:rsid w:val="00A14EB9"/>
    <w:rsid w:val="00A14EEA"/>
    <w:rsid w:val="00A15411"/>
    <w:rsid w:val="00A15615"/>
    <w:rsid w:val="00A15880"/>
    <w:rsid w:val="00A15896"/>
    <w:rsid w:val="00A16751"/>
    <w:rsid w:val="00A169CE"/>
    <w:rsid w:val="00A16D8C"/>
    <w:rsid w:val="00A16E10"/>
    <w:rsid w:val="00A17778"/>
    <w:rsid w:val="00A1790E"/>
    <w:rsid w:val="00A17A3C"/>
    <w:rsid w:val="00A17D51"/>
    <w:rsid w:val="00A203FF"/>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976"/>
    <w:rsid w:val="00A24C7B"/>
    <w:rsid w:val="00A24D5B"/>
    <w:rsid w:val="00A25755"/>
    <w:rsid w:val="00A2677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0BE"/>
    <w:rsid w:val="00A3430D"/>
    <w:rsid w:val="00A34B70"/>
    <w:rsid w:val="00A35CE5"/>
    <w:rsid w:val="00A3615F"/>
    <w:rsid w:val="00A36913"/>
    <w:rsid w:val="00A36F3F"/>
    <w:rsid w:val="00A37E3F"/>
    <w:rsid w:val="00A40163"/>
    <w:rsid w:val="00A40B3E"/>
    <w:rsid w:val="00A41305"/>
    <w:rsid w:val="00A41987"/>
    <w:rsid w:val="00A41E74"/>
    <w:rsid w:val="00A4236F"/>
    <w:rsid w:val="00A42413"/>
    <w:rsid w:val="00A42522"/>
    <w:rsid w:val="00A425F8"/>
    <w:rsid w:val="00A4271F"/>
    <w:rsid w:val="00A43451"/>
    <w:rsid w:val="00A43AA2"/>
    <w:rsid w:val="00A43D77"/>
    <w:rsid w:val="00A440DA"/>
    <w:rsid w:val="00A4441C"/>
    <w:rsid w:val="00A459FE"/>
    <w:rsid w:val="00A45A01"/>
    <w:rsid w:val="00A45E65"/>
    <w:rsid w:val="00A465ED"/>
    <w:rsid w:val="00A46ED7"/>
    <w:rsid w:val="00A46FC2"/>
    <w:rsid w:val="00A47E4E"/>
    <w:rsid w:val="00A500BC"/>
    <w:rsid w:val="00A50109"/>
    <w:rsid w:val="00A50267"/>
    <w:rsid w:val="00A50B73"/>
    <w:rsid w:val="00A50B94"/>
    <w:rsid w:val="00A51547"/>
    <w:rsid w:val="00A516BD"/>
    <w:rsid w:val="00A519AC"/>
    <w:rsid w:val="00A520D2"/>
    <w:rsid w:val="00A524D8"/>
    <w:rsid w:val="00A525DF"/>
    <w:rsid w:val="00A53191"/>
    <w:rsid w:val="00A53330"/>
    <w:rsid w:val="00A534D0"/>
    <w:rsid w:val="00A53942"/>
    <w:rsid w:val="00A53BB1"/>
    <w:rsid w:val="00A53E91"/>
    <w:rsid w:val="00A54665"/>
    <w:rsid w:val="00A548E6"/>
    <w:rsid w:val="00A54B96"/>
    <w:rsid w:val="00A54EE9"/>
    <w:rsid w:val="00A55029"/>
    <w:rsid w:val="00A55150"/>
    <w:rsid w:val="00A556BC"/>
    <w:rsid w:val="00A562CC"/>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26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1DCD"/>
    <w:rsid w:val="00A72265"/>
    <w:rsid w:val="00A72325"/>
    <w:rsid w:val="00A727C9"/>
    <w:rsid w:val="00A72D60"/>
    <w:rsid w:val="00A738D5"/>
    <w:rsid w:val="00A740F3"/>
    <w:rsid w:val="00A74416"/>
    <w:rsid w:val="00A75202"/>
    <w:rsid w:val="00A7537C"/>
    <w:rsid w:val="00A75584"/>
    <w:rsid w:val="00A7571C"/>
    <w:rsid w:val="00A76226"/>
    <w:rsid w:val="00A76679"/>
    <w:rsid w:val="00A7696E"/>
    <w:rsid w:val="00A76C3D"/>
    <w:rsid w:val="00A7722C"/>
    <w:rsid w:val="00A77DF4"/>
    <w:rsid w:val="00A8030C"/>
    <w:rsid w:val="00A803E7"/>
    <w:rsid w:val="00A804EF"/>
    <w:rsid w:val="00A8058B"/>
    <w:rsid w:val="00A80E5F"/>
    <w:rsid w:val="00A8103C"/>
    <w:rsid w:val="00A813BB"/>
    <w:rsid w:val="00A813ED"/>
    <w:rsid w:val="00A817D8"/>
    <w:rsid w:val="00A81BDD"/>
    <w:rsid w:val="00A81FD1"/>
    <w:rsid w:val="00A82F0F"/>
    <w:rsid w:val="00A8327B"/>
    <w:rsid w:val="00A8338F"/>
    <w:rsid w:val="00A83513"/>
    <w:rsid w:val="00A83639"/>
    <w:rsid w:val="00A83A3A"/>
    <w:rsid w:val="00A83D9C"/>
    <w:rsid w:val="00A83EEC"/>
    <w:rsid w:val="00A84162"/>
    <w:rsid w:val="00A845ED"/>
    <w:rsid w:val="00A8487D"/>
    <w:rsid w:val="00A849B4"/>
    <w:rsid w:val="00A84F60"/>
    <w:rsid w:val="00A850B5"/>
    <w:rsid w:val="00A85101"/>
    <w:rsid w:val="00A8532B"/>
    <w:rsid w:val="00A860E1"/>
    <w:rsid w:val="00A8673A"/>
    <w:rsid w:val="00A86CB6"/>
    <w:rsid w:val="00A87545"/>
    <w:rsid w:val="00A877B7"/>
    <w:rsid w:val="00A87A8E"/>
    <w:rsid w:val="00A90112"/>
    <w:rsid w:val="00A91030"/>
    <w:rsid w:val="00A91BBF"/>
    <w:rsid w:val="00A92506"/>
    <w:rsid w:val="00A9255A"/>
    <w:rsid w:val="00A925A5"/>
    <w:rsid w:val="00A929F9"/>
    <w:rsid w:val="00A92D2F"/>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778"/>
    <w:rsid w:val="00AA27C5"/>
    <w:rsid w:val="00AA2A19"/>
    <w:rsid w:val="00AA2E15"/>
    <w:rsid w:val="00AA2FF9"/>
    <w:rsid w:val="00AA33F9"/>
    <w:rsid w:val="00AA35CD"/>
    <w:rsid w:val="00AA36A5"/>
    <w:rsid w:val="00AA38F5"/>
    <w:rsid w:val="00AA3924"/>
    <w:rsid w:val="00AA3DA6"/>
    <w:rsid w:val="00AA4A34"/>
    <w:rsid w:val="00AA5571"/>
    <w:rsid w:val="00AA5FD7"/>
    <w:rsid w:val="00AA753F"/>
    <w:rsid w:val="00AB0336"/>
    <w:rsid w:val="00AB0C62"/>
    <w:rsid w:val="00AB1B12"/>
    <w:rsid w:val="00AB1C73"/>
    <w:rsid w:val="00AB1F5C"/>
    <w:rsid w:val="00AB243F"/>
    <w:rsid w:val="00AB28EA"/>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64F"/>
    <w:rsid w:val="00AB7767"/>
    <w:rsid w:val="00AB7D3D"/>
    <w:rsid w:val="00AC03FF"/>
    <w:rsid w:val="00AC08C8"/>
    <w:rsid w:val="00AC0DE0"/>
    <w:rsid w:val="00AC2346"/>
    <w:rsid w:val="00AC2A4C"/>
    <w:rsid w:val="00AC2CD3"/>
    <w:rsid w:val="00AC4322"/>
    <w:rsid w:val="00AC44C2"/>
    <w:rsid w:val="00AC4631"/>
    <w:rsid w:val="00AC4881"/>
    <w:rsid w:val="00AC4B0C"/>
    <w:rsid w:val="00AC4B9B"/>
    <w:rsid w:val="00AC4DD8"/>
    <w:rsid w:val="00AC56A0"/>
    <w:rsid w:val="00AC61C4"/>
    <w:rsid w:val="00AC64A6"/>
    <w:rsid w:val="00AC769B"/>
    <w:rsid w:val="00AC78C0"/>
    <w:rsid w:val="00AC79DB"/>
    <w:rsid w:val="00AD18AF"/>
    <w:rsid w:val="00AD1BC1"/>
    <w:rsid w:val="00AD1F41"/>
    <w:rsid w:val="00AD2488"/>
    <w:rsid w:val="00AD2D10"/>
    <w:rsid w:val="00AD2D2B"/>
    <w:rsid w:val="00AD2DA6"/>
    <w:rsid w:val="00AD306B"/>
    <w:rsid w:val="00AD3AC6"/>
    <w:rsid w:val="00AD4C28"/>
    <w:rsid w:val="00AD515E"/>
    <w:rsid w:val="00AD5320"/>
    <w:rsid w:val="00AD56CC"/>
    <w:rsid w:val="00AD598D"/>
    <w:rsid w:val="00AD6157"/>
    <w:rsid w:val="00AD61FC"/>
    <w:rsid w:val="00AD66B4"/>
    <w:rsid w:val="00AD6F18"/>
    <w:rsid w:val="00AD78B1"/>
    <w:rsid w:val="00AD7929"/>
    <w:rsid w:val="00AD7F54"/>
    <w:rsid w:val="00AE04F4"/>
    <w:rsid w:val="00AE05F6"/>
    <w:rsid w:val="00AE05F7"/>
    <w:rsid w:val="00AE0843"/>
    <w:rsid w:val="00AE0BEE"/>
    <w:rsid w:val="00AE0D0D"/>
    <w:rsid w:val="00AE0DC7"/>
    <w:rsid w:val="00AE16E2"/>
    <w:rsid w:val="00AE1A81"/>
    <w:rsid w:val="00AE1CED"/>
    <w:rsid w:val="00AE20AD"/>
    <w:rsid w:val="00AE259D"/>
    <w:rsid w:val="00AE2B7F"/>
    <w:rsid w:val="00AE2C5D"/>
    <w:rsid w:val="00AE361E"/>
    <w:rsid w:val="00AE36F2"/>
    <w:rsid w:val="00AE3B09"/>
    <w:rsid w:val="00AE3CA1"/>
    <w:rsid w:val="00AE3F89"/>
    <w:rsid w:val="00AE45C3"/>
    <w:rsid w:val="00AE49A6"/>
    <w:rsid w:val="00AE4DC3"/>
    <w:rsid w:val="00AE5B49"/>
    <w:rsid w:val="00AE64A3"/>
    <w:rsid w:val="00AE6EEE"/>
    <w:rsid w:val="00AE701D"/>
    <w:rsid w:val="00AE70A9"/>
    <w:rsid w:val="00AE75D6"/>
    <w:rsid w:val="00AE7FB3"/>
    <w:rsid w:val="00AF0B5E"/>
    <w:rsid w:val="00AF171C"/>
    <w:rsid w:val="00AF1F71"/>
    <w:rsid w:val="00AF1FB8"/>
    <w:rsid w:val="00AF2896"/>
    <w:rsid w:val="00AF31D3"/>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790"/>
    <w:rsid w:val="00B07B00"/>
    <w:rsid w:val="00B07C57"/>
    <w:rsid w:val="00B07E2C"/>
    <w:rsid w:val="00B07E30"/>
    <w:rsid w:val="00B104F9"/>
    <w:rsid w:val="00B1084D"/>
    <w:rsid w:val="00B11305"/>
    <w:rsid w:val="00B1195C"/>
    <w:rsid w:val="00B11FAA"/>
    <w:rsid w:val="00B120DD"/>
    <w:rsid w:val="00B12219"/>
    <w:rsid w:val="00B12429"/>
    <w:rsid w:val="00B124B8"/>
    <w:rsid w:val="00B13A9F"/>
    <w:rsid w:val="00B13EA8"/>
    <w:rsid w:val="00B147D1"/>
    <w:rsid w:val="00B14816"/>
    <w:rsid w:val="00B148B1"/>
    <w:rsid w:val="00B154AA"/>
    <w:rsid w:val="00B15618"/>
    <w:rsid w:val="00B15B5E"/>
    <w:rsid w:val="00B15FFF"/>
    <w:rsid w:val="00B164DA"/>
    <w:rsid w:val="00B16B5E"/>
    <w:rsid w:val="00B16BB7"/>
    <w:rsid w:val="00B1726C"/>
    <w:rsid w:val="00B17C8C"/>
    <w:rsid w:val="00B17CAB"/>
    <w:rsid w:val="00B2040C"/>
    <w:rsid w:val="00B20C74"/>
    <w:rsid w:val="00B20DAF"/>
    <w:rsid w:val="00B20E1F"/>
    <w:rsid w:val="00B21029"/>
    <w:rsid w:val="00B2232C"/>
    <w:rsid w:val="00B22616"/>
    <w:rsid w:val="00B239C7"/>
    <w:rsid w:val="00B246BC"/>
    <w:rsid w:val="00B24D61"/>
    <w:rsid w:val="00B24DB4"/>
    <w:rsid w:val="00B24ED6"/>
    <w:rsid w:val="00B25047"/>
    <w:rsid w:val="00B25927"/>
    <w:rsid w:val="00B25A3D"/>
    <w:rsid w:val="00B25D1B"/>
    <w:rsid w:val="00B264D7"/>
    <w:rsid w:val="00B27252"/>
    <w:rsid w:val="00B2756C"/>
    <w:rsid w:val="00B27EF5"/>
    <w:rsid w:val="00B3060D"/>
    <w:rsid w:val="00B31559"/>
    <w:rsid w:val="00B320B6"/>
    <w:rsid w:val="00B326FA"/>
    <w:rsid w:val="00B32851"/>
    <w:rsid w:val="00B32EFF"/>
    <w:rsid w:val="00B33130"/>
    <w:rsid w:val="00B33714"/>
    <w:rsid w:val="00B339EB"/>
    <w:rsid w:val="00B33B4D"/>
    <w:rsid w:val="00B33BCB"/>
    <w:rsid w:val="00B33D42"/>
    <w:rsid w:val="00B340D1"/>
    <w:rsid w:val="00B34921"/>
    <w:rsid w:val="00B34D54"/>
    <w:rsid w:val="00B34DE8"/>
    <w:rsid w:val="00B351AD"/>
    <w:rsid w:val="00B35504"/>
    <w:rsid w:val="00B35C4A"/>
    <w:rsid w:val="00B35E05"/>
    <w:rsid w:val="00B3604C"/>
    <w:rsid w:val="00B36308"/>
    <w:rsid w:val="00B3651D"/>
    <w:rsid w:val="00B3789B"/>
    <w:rsid w:val="00B37CCB"/>
    <w:rsid w:val="00B4068D"/>
    <w:rsid w:val="00B40DA1"/>
    <w:rsid w:val="00B41071"/>
    <w:rsid w:val="00B41230"/>
    <w:rsid w:val="00B41280"/>
    <w:rsid w:val="00B413F1"/>
    <w:rsid w:val="00B419F1"/>
    <w:rsid w:val="00B41F05"/>
    <w:rsid w:val="00B41F07"/>
    <w:rsid w:val="00B42242"/>
    <w:rsid w:val="00B42AA5"/>
    <w:rsid w:val="00B42F25"/>
    <w:rsid w:val="00B43F39"/>
    <w:rsid w:val="00B45190"/>
    <w:rsid w:val="00B45253"/>
    <w:rsid w:val="00B452E4"/>
    <w:rsid w:val="00B4718D"/>
    <w:rsid w:val="00B47D35"/>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6CF4"/>
    <w:rsid w:val="00B5758F"/>
    <w:rsid w:val="00B57A36"/>
    <w:rsid w:val="00B60179"/>
    <w:rsid w:val="00B60271"/>
    <w:rsid w:val="00B602B3"/>
    <w:rsid w:val="00B6033D"/>
    <w:rsid w:val="00B607C2"/>
    <w:rsid w:val="00B61148"/>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4008"/>
    <w:rsid w:val="00B843E8"/>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EAE"/>
    <w:rsid w:val="00B9264F"/>
    <w:rsid w:val="00B92690"/>
    <w:rsid w:val="00B92ECC"/>
    <w:rsid w:val="00B9350E"/>
    <w:rsid w:val="00B93623"/>
    <w:rsid w:val="00B93D74"/>
    <w:rsid w:val="00B94256"/>
    <w:rsid w:val="00B946F6"/>
    <w:rsid w:val="00B94D22"/>
    <w:rsid w:val="00B95495"/>
    <w:rsid w:val="00B95D17"/>
    <w:rsid w:val="00B96400"/>
    <w:rsid w:val="00B96C05"/>
    <w:rsid w:val="00B97077"/>
    <w:rsid w:val="00B97EDA"/>
    <w:rsid w:val="00BA2093"/>
    <w:rsid w:val="00BA23F0"/>
    <w:rsid w:val="00BA2502"/>
    <w:rsid w:val="00BA2E9C"/>
    <w:rsid w:val="00BA320E"/>
    <w:rsid w:val="00BA375E"/>
    <w:rsid w:val="00BA3B1D"/>
    <w:rsid w:val="00BA406B"/>
    <w:rsid w:val="00BA4959"/>
    <w:rsid w:val="00BA4C2B"/>
    <w:rsid w:val="00BA4D3C"/>
    <w:rsid w:val="00BA4EB7"/>
    <w:rsid w:val="00BA5186"/>
    <w:rsid w:val="00BA69D5"/>
    <w:rsid w:val="00BA709D"/>
    <w:rsid w:val="00BA7726"/>
    <w:rsid w:val="00BA77B4"/>
    <w:rsid w:val="00BA7AC8"/>
    <w:rsid w:val="00BB0802"/>
    <w:rsid w:val="00BB0D88"/>
    <w:rsid w:val="00BB123C"/>
    <w:rsid w:val="00BB12AF"/>
    <w:rsid w:val="00BB17B7"/>
    <w:rsid w:val="00BB19FE"/>
    <w:rsid w:val="00BB1A4F"/>
    <w:rsid w:val="00BB21B3"/>
    <w:rsid w:val="00BB2D69"/>
    <w:rsid w:val="00BB2D97"/>
    <w:rsid w:val="00BB30B0"/>
    <w:rsid w:val="00BB3125"/>
    <w:rsid w:val="00BB3778"/>
    <w:rsid w:val="00BB38AF"/>
    <w:rsid w:val="00BB40C4"/>
    <w:rsid w:val="00BB4139"/>
    <w:rsid w:val="00BB41F4"/>
    <w:rsid w:val="00BB514E"/>
    <w:rsid w:val="00BB5E23"/>
    <w:rsid w:val="00BB638A"/>
    <w:rsid w:val="00BB67FC"/>
    <w:rsid w:val="00BB6E33"/>
    <w:rsid w:val="00BB6E89"/>
    <w:rsid w:val="00BB717E"/>
    <w:rsid w:val="00BB7250"/>
    <w:rsid w:val="00BB79AC"/>
    <w:rsid w:val="00BB79F2"/>
    <w:rsid w:val="00BB7E1B"/>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D96"/>
    <w:rsid w:val="00BC719B"/>
    <w:rsid w:val="00BC72EC"/>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D20"/>
    <w:rsid w:val="00BD366D"/>
    <w:rsid w:val="00BD3874"/>
    <w:rsid w:val="00BD4017"/>
    <w:rsid w:val="00BD5044"/>
    <w:rsid w:val="00BD54E2"/>
    <w:rsid w:val="00BD69BE"/>
    <w:rsid w:val="00BD6AB9"/>
    <w:rsid w:val="00BD6D10"/>
    <w:rsid w:val="00BD7810"/>
    <w:rsid w:val="00BD7894"/>
    <w:rsid w:val="00BD7ADB"/>
    <w:rsid w:val="00BE034C"/>
    <w:rsid w:val="00BE05F1"/>
    <w:rsid w:val="00BE081E"/>
    <w:rsid w:val="00BE1CB8"/>
    <w:rsid w:val="00BE2CBC"/>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684"/>
    <w:rsid w:val="00C019B5"/>
    <w:rsid w:val="00C01AC1"/>
    <w:rsid w:val="00C01FD4"/>
    <w:rsid w:val="00C025DB"/>
    <w:rsid w:val="00C029E5"/>
    <w:rsid w:val="00C02FD5"/>
    <w:rsid w:val="00C0300C"/>
    <w:rsid w:val="00C0343D"/>
    <w:rsid w:val="00C03D70"/>
    <w:rsid w:val="00C03EF3"/>
    <w:rsid w:val="00C04196"/>
    <w:rsid w:val="00C043BC"/>
    <w:rsid w:val="00C0487F"/>
    <w:rsid w:val="00C049AA"/>
    <w:rsid w:val="00C04E06"/>
    <w:rsid w:val="00C05696"/>
    <w:rsid w:val="00C058F1"/>
    <w:rsid w:val="00C0599E"/>
    <w:rsid w:val="00C05A12"/>
    <w:rsid w:val="00C062D0"/>
    <w:rsid w:val="00C0653C"/>
    <w:rsid w:val="00C06E37"/>
    <w:rsid w:val="00C06EFB"/>
    <w:rsid w:val="00C07031"/>
    <w:rsid w:val="00C07337"/>
    <w:rsid w:val="00C07573"/>
    <w:rsid w:val="00C075A2"/>
    <w:rsid w:val="00C0776C"/>
    <w:rsid w:val="00C07CD5"/>
    <w:rsid w:val="00C07EA3"/>
    <w:rsid w:val="00C10680"/>
    <w:rsid w:val="00C10F46"/>
    <w:rsid w:val="00C1109F"/>
    <w:rsid w:val="00C110A2"/>
    <w:rsid w:val="00C1150B"/>
    <w:rsid w:val="00C12793"/>
    <w:rsid w:val="00C12B1C"/>
    <w:rsid w:val="00C132D7"/>
    <w:rsid w:val="00C134AD"/>
    <w:rsid w:val="00C13B6C"/>
    <w:rsid w:val="00C13CE3"/>
    <w:rsid w:val="00C14F84"/>
    <w:rsid w:val="00C15690"/>
    <w:rsid w:val="00C172CE"/>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1E6D"/>
    <w:rsid w:val="00C325F1"/>
    <w:rsid w:val="00C32E35"/>
    <w:rsid w:val="00C33374"/>
    <w:rsid w:val="00C33623"/>
    <w:rsid w:val="00C337A4"/>
    <w:rsid w:val="00C337D6"/>
    <w:rsid w:val="00C33D13"/>
    <w:rsid w:val="00C3453B"/>
    <w:rsid w:val="00C34CF9"/>
    <w:rsid w:val="00C3579F"/>
    <w:rsid w:val="00C35D27"/>
    <w:rsid w:val="00C36ACE"/>
    <w:rsid w:val="00C37FA2"/>
    <w:rsid w:val="00C407A2"/>
    <w:rsid w:val="00C4090D"/>
    <w:rsid w:val="00C4153C"/>
    <w:rsid w:val="00C41574"/>
    <w:rsid w:val="00C426DA"/>
    <w:rsid w:val="00C4305E"/>
    <w:rsid w:val="00C43132"/>
    <w:rsid w:val="00C435F3"/>
    <w:rsid w:val="00C43648"/>
    <w:rsid w:val="00C43F92"/>
    <w:rsid w:val="00C44546"/>
    <w:rsid w:val="00C44829"/>
    <w:rsid w:val="00C449ED"/>
    <w:rsid w:val="00C4516E"/>
    <w:rsid w:val="00C45A33"/>
    <w:rsid w:val="00C45E2E"/>
    <w:rsid w:val="00C4794B"/>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59F"/>
    <w:rsid w:val="00C53905"/>
    <w:rsid w:val="00C54B60"/>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F89"/>
    <w:rsid w:val="00C64222"/>
    <w:rsid w:val="00C64715"/>
    <w:rsid w:val="00C64734"/>
    <w:rsid w:val="00C649B9"/>
    <w:rsid w:val="00C64A24"/>
    <w:rsid w:val="00C64ADF"/>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B33"/>
    <w:rsid w:val="00C81CCB"/>
    <w:rsid w:val="00C81D1C"/>
    <w:rsid w:val="00C81E11"/>
    <w:rsid w:val="00C81E24"/>
    <w:rsid w:val="00C8202F"/>
    <w:rsid w:val="00C83208"/>
    <w:rsid w:val="00C834C5"/>
    <w:rsid w:val="00C83B99"/>
    <w:rsid w:val="00C83D55"/>
    <w:rsid w:val="00C846C6"/>
    <w:rsid w:val="00C852FE"/>
    <w:rsid w:val="00C864A9"/>
    <w:rsid w:val="00C86E60"/>
    <w:rsid w:val="00C8740E"/>
    <w:rsid w:val="00C90AD6"/>
    <w:rsid w:val="00C90BF5"/>
    <w:rsid w:val="00C90DA0"/>
    <w:rsid w:val="00C92B94"/>
    <w:rsid w:val="00C93127"/>
    <w:rsid w:val="00C932CB"/>
    <w:rsid w:val="00C9420F"/>
    <w:rsid w:val="00C94667"/>
    <w:rsid w:val="00C94C39"/>
    <w:rsid w:val="00C94DD6"/>
    <w:rsid w:val="00C95127"/>
    <w:rsid w:val="00C95362"/>
    <w:rsid w:val="00C95844"/>
    <w:rsid w:val="00C96B78"/>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CB5"/>
    <w:rsid w:val="00CA4DE0"/>
    <w:rsid w:val="00CA4F9F"/>
    <w:rsid w:val="00CA5548"/>
    <w:rsid w:val="00CA5930"/>
    <w:rsid w:val="00CA5C49"/>
    <w:rsid w:val="00CA6069"/>
    <w:rsid w:val="00CA6500"/>
    <w:rsid w:val="00CA6520"/>
    <w:rsid w:val="00CA6C66"/>
    <w:rsid w:val="00CA6FFE"/>
    <w:rsid w:val="00CA70DF"/>
    <w:rsid w:val="00CA7664"/>
    <w:rsid w:val="00CA7B10"/>
    <w:rsid w:val="00CA7B93"/>
    <w:rsid w:val="00CA7F4E"/>
    <w:rsid w:val="00CB1227"/>
    <w:rsid w:val="00CB1467"/>
    <w:rsid w:val="00CB1CD4"/>
    <w:rsid w:val="00CB212B"/>
    <w:rsid w:val="00CB2665"/>
    <w:rsid w:val="00CB2ABC"/>
    <w:rsid w:val="00CB317B"/>
    <w:rsid w:val="00CB3267"/>
    <w:rsid w:val="00CB336E"/>
    <w:rsid w:val="00CB33C4"/>
    <w:rsid w:val="00CB33D5"/>
    <w:rsid w:val="00CB374B"/>
    <w:rsid w:val="00CB37A0"/>
    <w:rsid w:val="00CB44AE"/>
    <w:rsid w:val="00CB511D"/>
    <w:rsid w:val="00CB5992"/>
    <w:rsid w:val="00CB5CED"/>
    <w:rsid w:val="00CB6C2C"/>
    <w:rsid w:val="00CB6CC1"/>
    <w:rsid w:val="00CB6ED3"/>
    <w:rsid w:val="00CB6F17"/>
    <w:rsid w:val="00CB73CA"/>
    <w:rsid w:val="00CC0026"/>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EF6"/>
    <w:rsid w:val="00CC45D0"/>
    <w:rsid w:val="00CC4BD2"/>
    <w:rsid w:val="00CC4F11"/>
    <w:rsid w:val="00CC58F3"/>
    <w:rsid w:val="00CC7291"/>
    <w:rsid w:val="00CC7C25"/>
    <w:rsid w:val="00CC7DA2"/>
    <w:rsid w:val="00CD0070"/>
    <w:rsid w:val="00CD0BE7"/>
    <w:rsid w:val="00CD113F"/>
    <w:rsid w:val="00CD1352"/>
    <w:rsid w:val="00CD194D"/>
    <w:rsid w:val="00CD1952"/>
    <w:rsid w:val="00CD1955"/>
    <w:rsid w:val="00CD2005"/>
    <w:rsid w:val="00CD2347"/>
    <w:rsid w:val="00CD2664"/>
    <w:rsid w:val="00CD287D"/>
    <w:rsid w:val="00CD35F7"/>
    <w:rsid w:val="00CD399C"/>
    <w:rsid w:val="00CD3C4B"/>
    <w:rsid w:val="00CD4164"/>
    <w:rsid w:val="00CD49FE"/>
    <w:rsid w:val="00CD5CF5"/>
    <w:rsid w:val="00CD6036"/>
    <w:rsid w:val="00CD6199"/>
    <w:rsid w:val="00CD6F1F"/>
    <w:rsid w:val="00CD71CA"/>
    <w:rsid w:val="00CD79FC"/>
    <w:rsid w:val="00CD7C2B"/>
    <w:rsid w:val="00CE04A2"/>
    <w:rsid w:val="00CE0821"/>
    <w:rsid w:val="00CE0C78"/>
    <w:rsid w:val="00CE0F7E"/>
    <w:rsid w:val="00CE13BF"/>
    <w:rsid w:val="00CE142E"/>
    <w:rsid w:val="00CE326F"/>
    <w:rsid w:val="00CE3860"/>
    <w:rsid w:val="00CE3ED9"/>
    <w:rsid w:val="00CE45CE"/>
    <w:rsid w:val="00CE46DF"/>
    <w:rsid w:val="00CE53EB"/>
    <w:rsid w:val="00CE59DA"/>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AEA"/>
    <w:rsid w:val="00CF2F71"/>
    <w:rsid w:val="00CF3373"/>
    <w:rsid w:val="00CF33D1"/>
    <w:rsid w:val="00CF446F"/>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201E"/>
    <w:rsid w:val="00D120EE"/>
    <w:rsid w:val="00D12775"/>
    <w:rsid w:val="00D12928"/>
    <w:rsid w:val="00D13DB5"/>
    <w:rsid w:val="00D147F6"/>
    <w:rsid w:val="00D1484C"/>
    <w:rsid w:val="00D149EC"/>
    <w:rsid w:val="00D14FAE"/>
    <w:rsid w:val="00D15059"/>
    <w:rsid w:val="00D1574A"/>
    <w:rsid w:val="00D15B93"/>
    <w:rsid w:val="00D15E54"/>
    <w:rsid w:val="00D16204"/>
    <w:rsid w:val="00D1637D"/>
    <w:rsid w:val="00D16535"/>
    <w:rsid w:val="00D1672B"/>
    <w:rsid w:val="00D16F60"/>
    <w:rsid w:val="00D17746"/>
    <w:rsid w:val="00D17895"/>
    <w:rsid w:val="00D17A2F"/>
    <w:rsid w:val="00D2079F"/>
    <w:rsid w:val="00D20EAF"/>
    <w:rsid w:val="00D21921"/>
    <w:rsid w:val="00D22267"/>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5F75"/>
    <w:rsid w:val="00D2620B"/>
    <w:rsid w:val="00D26595"/>
    <w:rsid w:val="00D266EA"/>
    <w:rsid w:val="00D26A2E"/>
    <w:rsid w:val="00D2715D"/>
    <w:rsid w:val="00D271C5"/>
    <w:rsid w:val="00D27289"/>
    <w:rsid w:val="00D27B6F"/>
    <w:rsid w:val="00D30A1D"/>
    <w:rsid w:val="00D30C7C"/>
    <w:rsid w:val="00D31049"/>
    <w:rsid w:val="00D3106F"/>
    <w:rsid w:val="00D316FC"/>
    <w:rsid w:val="00D31AAE"/>
    <w:rsid w:val="00D31C71"/>
    <w:rsid w:val="00D32631"/>
    <w:rsid w:val="00D3265E"/>
    <w:rsid w:val="00D327BF"/>
    <w:rsid w:val="00D32DDE"/>
    <w:rsid w:val="00D32DE8"/>
    <w:rsid w:val="00D32E06"/>
    <w:rsid w:val="00D32E31"/>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EEC"/>
    <w:rsid w:val="00D51324"/>
    <w:rsid w:val="00D5146B"/>
    <w:rsid w:val="00D51BEE"/>
    <w:rsid w:val="00D51DE0"/>
    <w:rsid w:val="00D52490"/>
    <w:rsid w:val="00D528FC"/>
    <w:rsid w:val="00D52941"/>
    <w:rsid w:val="00D533FE"/>
    <w:rsid w:val="00D538D3"/>
    <w:rsid w:val="00D54265"/>
    <w:rsid w:val="00D550EB"/>
    <w:rsid w:val="00D55484"/>
    <w:rsid w:val="00D55815"/>
    <w:rsid w:val="00D55822"/>
    <w:rsid w:val="00D56714"/>
    <w:rsid w:val="00D56843"/>
    <w:rsid w:val="00D573C5"/>
    <w:rsid w:val="00D57C46"/>
    <w:rsid w:val="00D608D0"/>
    <w:rsid w:val="00D60AA7"/>
    <w:rsid w:val="00D6179B"/>
    <w:rsid w:val="00D61B6A"/>
    <w:rsid w:val="00D61BBC"/>
    <w:rsid w:val="00D6261C"/>
    <w:rsid w:val="00D6332D"/>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77DA1"/>
    <w:rsid w:val="00D80458"/>
    <w:rsid w:val="00D80979"/>
    <w:rsid w:val="00D8136E"/>
    <w:rsid w:val="00D813C7"/>
    <w:rsid w:val="00D81759"/>
    <w:rsid w:val="00D81815"/>
    <w:rsid w:val="00D81A8A"/>
    <w:rsid w:val="00D81EE3"/>
    <w:rsid w:val="00D827A5"/>
    <w:rsid w:val="00D829A3"/>
    <w:rsid w:val="00D82BF1"/>
    <w:rsid w:val="00D82DF3"/>
    <w:rsid w:val="00D8316D"/>
    <w:rsid w:val="00D836EB"/>
    <w:rsid w:val="00D83B18"/>
    <w:rsid w:val="00D83B5E"/>
    <w:rsid w:val="00D83DBA"/>
    <w:rsid w:val="00D8400C"/>
    <w:rsid w:val="00D84119"/>
    <w:rsid w:val="00D84597"/>
    <w:rsid w:val="00D84FA2"/>
    <w:rsid w:val="00D852F1"/>
    <w:rsid w:val="00D85C2F"/>
    <w:rsid w:val="00D86036"/>
    <w:rsid w:val="00D8612E"/>
    <w:rsid w:val="00D86250"/>
    <w:rsid w:val="00D86810"/>
    <w:rsid w:val="00D868E3"/>
    <w:rsid w:val="00D86CAC"/>
    <w:rsid w:val="00D86EB4"/>
    <w:rsid w:val="00D87407"/>
    <w:rsid w:val="00D87AEF"/>
    <w:rsid w:val="00D90D25"/>
    <w:rsid w:val="00D90EC4"/>
    <w:rsid w:val="00D9144F"/>
    <w:rsid w:val="00D91504"/>
    <w:rsid w:val="00D91A37"/>
    <w:rsid w:val="00D91EC4"/>
    <w:rsid w:val="00D922CA"/>
    <w:rsid w:val="00D925BD"/>
    <w:rsid w:val="00D92C13"/>
    <w:rsid w:val="00D92F95"/>
    <w:rsid w:val="00D93062"/>
    <w:rsid w:val="00D93649"/>
    <w:rsid w:val="00D93968"/>
    <w:rsid w:val="00D93CFD"/>
    <w:rsid w:val="00D93FDA"/>
    <w:rsid w:val="00D94058"/>
    <w:rsid w:val="00D940AC"/>
    <w:rsid w:val="00D94664"/>
    <w:rsid w:val="00D94C5E"/>
    <w:rsid w:val="00D94C89"/>
    <w:rsid w:val="00D94E65"/>
    <w:rsid w:val="00D9512A"/>
    <w:rsid w:val="00D956F3"/>
    <w:rsid w:val="00D95B11"/>
    <w:rsid w:val="00DA0E65"/>
    <w:rsid w:val="00DA186F"/>
    <w:rsid w:val="00DA1BB7"/>
    <w:rsid w:val="00DA296E"/>
    <w:rsid w:val="00DA2E45"/>
    <w:rsid w:val="00DA3C7B"/>
    <w:rsid w:val="00DA3F29"/>
    <w:rsid w:val="00DA4A1A"/>
    <w:rsid w:val="00DA4EF0"/>
    <w:rsid w:val="00DA55E0"/>
    <w:rsid w:val="00DA5859"/>
    <w:rsid w:val="00DA603B"/>
    <w:rsid w:val="00DA62AB"/>
    <w:rsid w:val="00DA63DF"/>
    <w:rsid w:val="00DA7217"/>
    <w:rsid w:val="00DB058A"/>
    <w:rsid w:val="00DB0811"/>
    <w:rsid w:val="00DB0B11"/>
    <w:rsid w:val="00DB12CA"/>
    <w:rsid w:val="00DB1CBE"/>
    <w:rsid w:val="00DB2158"/>
    <w:rsid w:val="00DB21A2"/>
    <w:rsid w:val="00DB2353"/>
    <w:rsid w:val="00DB2595"/>
    <w:rsid w:val="00DB36C2"/>
    <w:rsid w:val="00DB3F9C"/>
    <w:rsid w:val="00DB5703"/>
    <w:rsid w:val="00DB59FC"/>
    <w:rsid w:val="00DB5A3F"/>
    <w:rsid w:val="00DB5E7C"/>
    <w:rsid w:val="00DB5FFF"/>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0CA8"/>
    <w:rsid w:val="00DD22E8"/>
    <w:rsid w:val="00DD26FE"/>
    <w:rsid w:val="00DD3137"/>
    <w:rsid w:val="00DD329D"/>
    <w:rsid w:val="00DD33F0"/>
    <w:rsid w:val="00DD43D5"/>
    <w:rsid w:val="00DD452B"/>
    <w:rsid w:val="00DD4E44"/>
    <w:rsid w:val="00DD5618"/>
    <w:rsid w:val="00DD6553"/>
    <w:rsid w:val="00DD6BD2"/>
    <w:rsid w:val="00DD6BE7"/>
    <w:rsid w:val="00DD6C99"/>
    <w:rsid w:val="00DD7EFA"/>
    <w:rsid w:val="00DE017A"/>
    <w:rsid w:val="00DE0866"/>
    <w:rsid w:val="00DE09E3"/>
    <w:rsid w:val="00DE0B93"/>
    <w:rsid w:val="00DE0C67"/>
    <w:rsid w:val="00DE1430"/>
    <w:rsid w:val="00DE151A"/>
    <w:rsid w:val="00DE17B2"/>
    <w:rsid w:val="00DE21E4"/>
    <w:rsid w:val="00DE2A64"/>
    <w:rsid w:val="00DE2C92"/>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A38"/>
    <w:rsid w:val="00E00B01"/>
    <w:rsid w:val="00E012BA"/>
    <w:rsid w:val="00E01D9D"/>
    <w:rsid w:val="00E02186"/>
    <w:rsid w:val="00E02CA0"/>
    <w:rsid w:val="00E039DB"/>
    <w:rsid w:val="00E03FFE"/>
    <w:rsid w:val="00E041E9"/>
    <w:rsid w:val="00E0496D"/>
    <w:rsid w:val="00E04D8D"/>
    <w:rsid w:val="00E04DB8"/>
    <w:rsid w:val="00E05B22"/>
    <w:rsid w:val="00E0668A"/>
    <w:rsid w:val="00E06AA8"/>
    <w:rsid w:val="00E06B89"/>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6E0"/>
    <w:rsid w:val="00E17887"/>
    <w:rsid w:val="00E178C5"/>
    <w:rsid w:val="00E17960"/>
    <w:rsid w:val="00E207E6"/>
    <w:rsid w:val="00E209FC"/>
    <w:rsid w:val="00E20FE6"/>
    <w:rsid w:val="00E210F9"/>
    <w:rsid w:val="00E21269"/>
    <w:rsid w:val="00E2224C"/>
    <w:rsid w:val="00E22B77"/>
    <w:rsid w:val="00E22EE5"/>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1D85"/>
    <w:rsid w:val="00E321FD"/>
    <w:rsid w:val="00E322D8"/>
    <w:rsid w:val="00E323A7"/>
    <w:rsid w:val="00E3283F"/>
    <w:rsid w:val="00E32D13"/>
    <w:rsid w:val="00E33441"/>
    <w:rsid w:val="00E33ADF"/>
    <w:rsid w:val="00E33F30"/>
    <w:rsid w:val="00E33FB0"/>
    <w:rsid w:val="00E34114"/>
    <w:rsid w:val="00E345D8"/>
    <w:rsid w:val="00E34BE4"/>
    <w:rsid w:val="00E355AD"/>
    <w:rsid w:val="00E3586F"/>
    <w:rsid w:val="00E35971"/>
    <w:rsid w:val="00E35BC6"/>
    <w:rsid w:val="00E36410"/>
    <w:rsid w:val="00E36FD3"/>
    <w:rsid w:val="00E37012"/>
    <w:rsid w:val="00E370D0"/>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CB2"/>
    <w:rsid w:val="00E44F22"/>
    <w:rsid w:val="00E456DF"/>
    <w:rsid w:val="00E4647E"/>
    <w:rsid w:val="00E47316"/>
    <w:rsid w:val="00E47383"/>
    <w:rsid w:val="00E4754A"/>
    <w:rsid w:val="00E47BE4"/>
    <w:rsid w:val="00E47EAE"/>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2F2"/>
    <w:rsid w:val="00E57D17"/>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85"/>
    <w:rsid w:val="00E70721"/>
    <w:rsid w:val="00E70E45"/>
    <w:rsid w:val="00E71D91"/>
    <w:rsid w:val="00E72B6E"/>
    <w:rsid w:val="00E72BD7"/>
    <w:rsid w:val="00E72CCA"/>
    <w:rsid w:val="00E72FFE"/>
    <w:rsid w:val="00E73838"/>
    <w:rsid w:val="00E73A0E"/>
    <w:rsid w:val="00E74083"/>
    <w:rsid w:val="00E7456F"/>
    <w:rsid w:val="00E75706"/>
    <w:rsid w:val="00E76E46"/>
    <w:rsid w:val="00E776E6"/>
    <w:rsid w:val="00E77928"/>
    <w:rsid w:val="00E77C81"/>
    <w:rsid w:val="00E80379"/>
    <w:rsid w:val="00E807E7"/>
    <w:rsid w:val="00E809A6"/>
    <w:rsid w:val="00E8131F"/>
    <w:rsid w:val="00E8191D"/>
    <w:rsid w:val="00E81A3C"/>
    <w:rsid w:val="00E81C23"/>
    <w:rsid w:val="00E81DFF"/>
    <w:rsid w:val="00E823D1"/>
    <w:rsid w:val="00E8265D"/>
    <w:rsid w:val="00E82795"/>
    <w:rsid w:val="00E828B9"/>
    <w:rsid w:val="00E828CE"/>
    <w:rsid w:val="00E828DC"/>
    <w:rsid w:val="00E842F0"/>
    <w:rsid w:val="00E84369"/>
    <w:rsid w:val="00E84A05"/>
    <w:rsid w:val="00E84BC3"/>
    <w:rsid w:val="00E84DF6"/>
    <w:rsid w:val="00E855CA"/>
    <w:rsid w:val="00E85B28"/>
    <w:rsid w:val="00E866A0"/>
    <w:rsid w:val="00E8699D"/>
    <w:rsid w:val="00E86C28"/>
    <w:rsid w:val="00E86E51"/>
    <w:rsid w:val="00E87B01"/>
    <w:rsid w:val="00E87BEA"/>
    <w:rsid w:val="00E90601"/>
    <w:rsid w:val="00E90705"/>
    <w:rsid w:val="00E90999"/>
    <w:rsid w:val="00E90CE6"/>
    <w:rsid w:val="00E90CFD"/>
    <w:rsid w:val="00E91248"/>
    <w:rsid w:val="00E912A6"/>
    <w:rsid w:val="00E9257F"/>
    <w:rsid w:val="00E92C46"/>
    <w:rsid w:val="00E93095"/>
    <w:rsid w:val="00E9388B"/>
    <w:rsid w:val="00E947E4"/>
    <w:rsid w:val="00E94D86"/>
    <w:rsid w:val="00E94E70"/>
    <w:rsid w:val="00E961D8"/>
    <w:rsid w:val="00E96498"/>
    <w:rsid w:val="00E96C2C"/>
    <w:rsid w:val="00E977D5"/>
    <w:rsid w:val="00EA0266"/>
    <w:rsid w:val="00EA06BA"/>
    <w:rsid w:val="00EA093B"/>
    <w:rsid w:val="00EA0A6E"/>
    <w:rsid w:val="00EA136B"/>
    <w:rsid w:val="00EA21F2"/>
    <w:rsid w:val="00EA2249"/>
    <w:rsid w:val="00EA2E4F"/>
    <w:rsid w:val="00EA3418"/>
    <w:rsid w:val="00EA3431"/>
    <w:rsid w:val="00EA3EAD"/>
    <w:rsid w:val="00EA44ED"/>
    <w:rsid w:val="00EA4A6D"/>
    <w:rsid w:val="00EA4C8A"/>
    <w:rsid w:val="00EA53C7"/>
    <w:rsid w:val="00EA5921"/>
    <w:rsid w:val="00EA5CB0"/>
    <w:rsid w:val="00EA6790"/>
    <w:rsid w:val="00EA6E84"/>
    <w:rsid w:val="00EA7500"/>
    <w:rsid w:val="00EA75C6"/>
    <w:rsid w:val="00EA77E3"/>
    <w:rsid w:val="00EA7867"/>
    <w:rsid w:val="00EB0005"/>
    <w:rsid w:val="00EB1031"/>
    <w:rsid w:val="00EB11B1"/>
    <w:rsid w:val="00EB1CBF"/>
    <w:rsid w:val="00EB1FEB"/>
    <w:rsid w:val="00EB22C8"/>
    <w:rsid w:val="00EB2799"/>
    <w:rsid w:val="00EB3500"/>
    <w:rsid w:val="00EB39EE"/>
    <w:rsid w:val="00EB49A9"/>
    <w:rsid w:val="00EB5363"/>
    <w:rsid w:val="00EB5511"/>
    <w:rsid w:val="00EB5975"/>
    <w:rsid w:val="00EB5CDE"/>
    <w:rsid w:val="00EB5E62"/>
    <w:rsid w:val="00EB6161"/>
    <w:rsid w:val="00EB6168"/>
    <w:rsid w:val="00EB6221"/>
    <w:rsid w:val="00EB6B3D"/>
    <w:rsid w:val="00EB6C11"/>
    <w:rsid w:val="00EB6FB1"/>
    <w:rsid w:val="00EB6FFE"/>
    <w:rsid w:val="00EB7AD0"/>
    <w:rsid w:val="00EB7C34"/>
    <w:rsid w:val="00EC0FE3"/>
    <w:rsid w:val="00EC1272"/>
    <w:rsid w:val="00EC1279"/>
    <w:rsid w:val="00EC129B"/>
    <w:rsid w:val="00EC129F"/>
    <w:rsid w:val="00EC1B7F"/>
    <w:rsid w:val="00EC25D1"/>
    <w:rsid w:val="00EC2C62"/>
    <w:rsid w:val="00EC37A2"/>
    <w:rsid w:val="00EC3D21"/>
    <w:rsid w:val="00EC3D6B"/>
    <w:rsid w:val="00EC3E8B"/>
    <w:rsid w:val="00EC40D8"/>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D6F"/>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7F61"/>
    <w:rsid w:val="00EE1076"/>
    <w:rsid w:val="00EE130D"/>
    <w:rsid w:val="00EE16D5"/>
    <w:rsid w:val="00EE18F7"/>
    <w:rsid w:val="00EE1BBA"/>
    <w:rsid w:val="00EE24C0"/>
    <w:rsid w:val="00EE44C8"/>
    <w:rsid w:val="00EE5405"/>
    <w:rsid w:val="00EE5691"/>
    <w:rsid w:val="00EE57DF"/>
    <w:rsid w:val="00EE5CD6"/>
    <w:rsid w:val="00EE60DF"/>
    <w:rsid w:val="00EE621B"/>
    <w:rsid w:val="00EE6765"/>
    <w:rsid w:val="00EE67D9"/>
    <w:rsid w:val="00EE7006"/>
    <w:rsid w:val="00EE713F"/>
    <w:rsid w:val="00EE7619"/>
    <w:rsid w:val="00EE7F54"/>
    <w:rsid w:val="00EF031C"/>
    <w:rsid w:val="00EF036D"/>
    <w:rsid w:val="00EF04ED"/>
    <w:rsid w:val="00EF1CA9"/>
    <w:rsid w:val="00EF2171"/>
    <w:rsid w:val="00EF2228"/>
    <w:rsid w:val="00EF28E6"/>
    <w:rsid w:val="00EF2A04"/>
    <w:rsid w:val="00EF2FF4"/>
    <w:rsid w:val="00EF3004"/>
    <w:rsid w:val="00EF3050"/>
    <w:rsid w:val="00EF3399"/>
    <w:rsid w:val="00EF3D75"/>
    <w:rsid w:val="00EF43FD"/>
    <w:rsid w:val="00EF5457"/>
    <w:rsid w:val="00EF5BDF"/>
    <w:rsid w:val="00EF60C8"/>
    <w:rsid w:val="00EF69F4"/>
    <w:rsid w:val="00EF7020"/>
    <w:rsid w:val="00EF726B"/>
    <w:rsid w:val="00EF7353"/>
    <w:rsid w:val="00EF781F"/>
    <w:rsid w:val="00F00256"/>
    <w:rsid w:val="00F0080E"/>
    <w:rsid w:val="00F00F48"/>
    <w:rsid w:val="00F010D8"/>
    <w:rsid w:val="00F01CE5"/>
    <w:rsid w:val="00F02373"/>
    <w:rsid w:val="00F0297E"/>
    <w:rsid w:val="00F03345"/>
    <w:rsid w:val="00F0349C"/>
    <w:rsid w:val="00F044BF"/>
    <w:rsid w:val="00F045C5"/>
    <w:rsid w:val="00F04EA3"/>
    <w:rsid w:val="00F05737"/>
    <w:rsid w:val="00F05D42"/>
    <w:rsid w:val="00F069EA"/>
    <w:rsid w:val="00F06E7F"/>
    <w:rsid w:val="00F07236"/>
    <w:rsid w:val="00F0744F"/>
    <w:rsid w:val="00F075B2"/>
    <w:rsid w:val="00F07956"/>
    <w:rsid w:val="00F079C4"/>
    <w:rsid w:val="00F07E2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5CB"/>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5977"/>
    <w:rsid w:val="00F2660C"/>
    <w:rsid w:val="00F266E7"/>
    <w:rsid w:val="00F26A78"/>
    <w:rsid w:val="00F26AB0"/>
    <w:rsid w:val="00F26BF2"/>
    <w:rsid w:val="00F27177"/>
    <w:rsid w:val="00F271D2"/>
    <w:rsid w:val="00F27ECC"/>
    <w:rsid w:val="00F30350"/>
    <w:rsid w:val="00F306E7"/>
    <w:rsid w:val="00F307AA"/>
    <w:rsid w:val="00F3087E"/>
    <w:rsid w:val="00F30C4B"/>
    <w:rsid w:val="00F31680"/>
    <w:rsid w:val="00F3180C"/>
    <w:rsid w:val="00F3180E"/>
    <w:rsid w:val="00F31A6B"/>
    <w:rsid w:val="00F31AB3"/>
    <w:rsid w:val="00F339D1"/>
    <w:rsid w:val="00F33E18"/>
    <w:rsid w:val="00F34BC7"/>
    <w:rsid w:val="00F350AC"/>
    <w:rsid w:val="00F35DE1"/>
    <w:rsid w:val="00F36161"/>
    <w:rsid w:val="00F36803"/>
    <w:rsid w:val="00F36948"/>
    <w:rsid w:val="00F36B18"/>
    <w:rsid w:val="00F37315"/>
    <w:rsid w:val="00F37626"/>
    <w:rsid w:val="00F40217"/>
    <w:rsid w:val="00F404EF"/>
    <w:rsid w:val="00F407DB"/>
    <w:rsid w:val="00F41292"/>
    <w:rsid w:val="00F41400"/>
    <w:rsid w:val="00F41673"/>
    <w:rsid w:val="00F41B44"/>
    <w:rsid w:val="00F41E2B"/>
    <w:rsid w:val="00F42BE8"/>
    <w:rsid w:val="00F431CC"/>
    <w:rsid w:val="00F4396C"/>
    <w:rsid w:val="00F4451E"/>
    <w:rsid w:val="00F44767"/>
    <w:rsid w:val="00F44A7D"/>
    <w:rsid w:val="00F4509D"/>
    <w:rsid w:val="00F450AE"/>
    <w:rsid w:val="00F45C0F"/>
    <w:rsid w:val="00F46735"/>
    <w:rsid w:val="00F46A76"/>
    <w:rsid w:val="00F473B9"/>
    <w:rsid w:val="00F4789F"/>
    <w:rsid w:val="00F47BD5"/>
    <w:rsid w:val="00F50DD0"/>
    <w:rsid w:val="00F51021"/>
    <w:rsid w:val="00F510CE"/>
    <w:rsid w:val="00F51497"/>
    <w:rsid w:val="00F51555"/>
    <w:rsid w:val="00F519AF"/>
    <w:rsid w:val="00F520BD"/>
    <w:rsid w:val="00F523F8"/>
    <w:rsid w:val="00F52464"/>
    <w:rsid w:val="00F524B4"/>
    <w:rsid w:val="00F525DF"/>
    <w:rsid w:val="00F5279A"/>
    <w:rsid w:val="00F52EDD"/>
    <w:rsid w:val="00F53B49"/>
    <w:rsid w:val="00F53E16"/>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20A3"/>
    <w:rsid w:val="00F62558"/>
    <w:rsid w:val="00F62B19"/>
    <w:rsid w:val="00F63B13"/>
    <w:rsid w:val="00F64EA5"/>
    <w:rsid w:val="00F656A0"/>
    <w:rsid w:val="00F65CC9"/>
    <w:rsid w:val="00F65F1F"/>
    <w:rsid w:val="00F66689"/>
    <w:rsid w:val="00F666E2"/>
    <w:rsid w:val="00F66F9E"/>
    <w:rsid w:val="00F67038"/>
    <w:rsid w:val="00F67120"/>
    <w:rsid w:val="00F67335"/>
    <w:rsid w:val="00F67734"/>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62"/>
    <w:rsid w:val="00F74CC0"/>
    <w:rsid w:val="00F74F12"/>
    <w:rsid w:val="00F751E6"/>
    <w:rsid w:val="00F75619"/>
    <w:rsid w:val="00F75BF3"/>
    <w:rsid w:val="00F75DC9"/>
    <w:rsid w:val="00F76373"/>
    <w:rsid w:val="00F76B20"/>
    <w:rsid w:val="00F76D91"/>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4C66"/>
    <w:rsid w:val="00F852A9"/>
    <w:rsid w:val="00F87081"/>
    <w:rsid w:val="00F8716C"/>
    <w:rsid w:val="00F904BC"/>
    <w:rsid w:val="00F91346"/>
    <w:rsid w:val="00F9136C"/>
    <w:rsid w:val="00F916CD"/>
    <w:rsid w:val="00F91BBD"/>
    <w:rsid w:val="00F91C1C"/>
    <w:rsid w:val="00F91FB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BE1"/>
    <w:rsid w:val="00F963F5"/>
    <w:rsid w:val="00F96CDA"/>
    <w:rsid w:val="00F97B23"/>
    <w:rsid w:val="00FA179A"/>
    <w:rsid w:val="00FA1FDC"/>
    <w:rsid w:val="00FA21C4"/>
    <w:rsid w:val="00FA27D7"/>
    <w:rsid w:val="00FA2849"/>
    <w:rsid w:val="00FA2BA3"/>
    <w:rsid w:val="00FA2E4F"/>
    <w:rsid w:val="00FA2E85"/>
    <w:rsid w:val="00FA3581"/>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55E1"/>
    <w:rsid w:val="00FB5CC1"/>
    <w:rsid w:val="00FB6234"/>
    <w:rsid w:val="00FB66CC"/>
    <w:rsid w:val="00FB7148"/>
    <w:rsid w:val="00FB7170"/>
    <w:rsid w:val="00FB7F86"/>
    <w:rsid w:val="00FC119E"/>
    <w:rsid w:val="00FC1FE0"/>
    <w:rsid w:val="00FC2980"/>
    <w:rsid w:val="00FC29E3"/>
    <w:rsid w:val="00FC30EB"/>
    <w:rsid w:val="00FC329F"/>
    <w:rsid w:val="00FC3BDD"/>
    <w:rsid w:val="00FC3E2C"/>
    <w:rsid w:val="00FC3ECD"/>
    <w:rsid w:val="00FC4405"/>
    <w:rsid w:val="00FC4745"/>
    <w:rsid w:val="00FC4A84"/>
    <w:rsid w:val="00FC4CA7"/>
    <w:rsid w:val="00FC5064"/>
    <w:rsid w:val="00FC5360"/>
    <w:rsid w:val="00FC5846"/>
    <w:rsid w:val="00FC5883"/>
    <w:rsid w:val="00FC6137"/>
    <w:rsid w:val="00FC65B9"/>
    <w:rsid w:val="00FC681A"/>
    <w:rsid w:val="00FC69EB"/>
    <w:rsid w:val="00FC6E1C"/>
    <w:rsid w:val="00FC74FC"/>
    <w:rsid w:val="00FC7576"/>
    <w:rsid w:val="00FD03F5"/>
    <w:rsid w:val="00FD07D4"/>
    <w:rsid w:val="00FD07F8"/>
    <w:rsid w:val="00FD0E61"/>
    <w:rsid w:val="00FD1812"/>
    <w:rsid w:val="00FD20B2"/>
    <w:rsid w:val="00FD28F7"/>
    <w:rsid w:val="00FD2DA2"/>
    <w:rsid w:val="00FD4103"/>
    <w:rsid w:val="00FD4240"/>
    <w:rsid w:val="00FD48F2"/>
    <w:rsid w:val="00FD49F3"/>
    <w:rsid w:val="00FD4D80"/>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B41"/>
    <w:rsid w:val="00FE571E"/>
    <w:rsid w:val="00FE58B7"/>
    <w:rsid w:val="00FE6177"/>
    <w:rsid w:val="00FE666B"/>
    <w:rsid w:val="00FE6EED"/>
    <w:rsid w:val="00FE71B7"/>
    <w:rsid w:val="00FE7364"/>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F57"/>
    <w:rsid w:val="00FF57C8"/>
    <w:rsid w:val="00FF58C2"/>
    <w:rsid w:val="00FF644D"/>
    <w:rsid w:val="00FF66E9"/>
    <w:rsid w:val="00FF7549"/>
    <w:rsid w:val="049A4496"/>
    <w:rsid w:val="0E73356F"/>
    <w:rsid w:val="107B4AAE"/>
    <w:rsid w:val="12B955FF"/>
    <w:rsid w:val="16C51E1D"/>
    <w:rsid w:val="190029FB"/>
    <w:rsid w:val="19F14EC7"/>
    <w:rsid w:val="23D73753"/>
    <w:rsid w:val="24EB2D99"/>
    <w:rsid w:val="26623D7E"/>
    <w:rsid w:val="2AA31C51"/>
    <w:rsid w:val="2EF10167"/>
    <w:rsid w:val="383212A4"/>
    <w:rsid w:val="3E0A51BA"/>
    <w:rsid w:val="42993ED1"/>
    <w:rsid w:val="578E488B"/>
    <w:rsid w:val="66DF3B52"/>
    <w:rsid w:val="77670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3"/>
    <w:link w:val="91"/>
    <w:qFormat/>
    <w:uiPriority w:val="0"/>
    <w:pPr>
      <w:keepNext/>
      <w:spacing w:before="240" w:after="60"/>
      <w:outlineLvl w:val="0"/>
    </w:pPr>
    <w:rPr>
      <w:rFonts w:ascii="Helvetica" w:hAnsi="Helvetica" w:cs="Arial"/>
      <w:b/>
      <w:bCs/>
      <w:kern w:val="32"/>
      <w:sz w:val="28"/>
      <w:szCs w:val="32"/>
    </w:rPr>
  </w:style>
  <w:style w:type="paragraph" w:styleId="4">
    <w:name w:val="heading 2"/>
    <w:basedOn w:val="1"/>
    <w:next w:val="3"/>
    <w:link w:val="95"/>
    <w:qFormat/>
    <w:uiPriority w:val="0"/>
    <w:pPr>
      <w:keepNext/>
      <w:spacing w:before="240" w:after="60"/>
      <w:outlineLvl w:val="1"/>
    </w:pPr>
    <w:rPr>
      <w:rFonts w:ascii="Helvetica" w:hAnsi="Helvetica" w:cs="Arial"/>
      <w:b/>
      <w:bCs/>
      <w:iCs/>
      <w:szCs w:val="28"/>
    </w:rPr>
  </w:style>
  <w:style w:type="paragraph" w:styleId="5">
    <w:name w:val="heading 3"/>
    <w:basedOn w:val="1"/>
    <w:next w:val="1"/>
    <w:link w:val="36"/>
    <w:qFormat/>
    <w:uiPriority w:val="0"/>
    <w:pPr>
      <w:keepNext/>
      <w:keepLines/>
      <w:numPr>
        <w:ilvl w:val="0"/>
        <w:numId w:val="1"/>
      </w:numPr>
      <w:spacing w:before="120" w:after="180"/>
      <w:outlineLvl w:val="2"/>
    </w:pPr>
    <w:rPr>
      <w:rFonts w:ascii="Arial" w:hAnsi="Arial" w:cs="Arial"/>
      <w:b/>
      <w:bCs/>
      <w:sz w:val="21"/>
      <w:szCs w:val="26"/>
    </w:rPr>
  </w:style>
  <w:style w:type="paragraph" w:styleId="6">
    <w:name w:val="heading 4"/>
    <w:basedOn w:val="1"/>
    <w:next w:val="1"/>
    <w:qFormat/>
    <w:uiPriority w:val="0"/>
    <w:pPr>
      <w:keepNext/>
      <w:numPr>
        <w:ilvl w:val="3"/>
        <w:numId w:val="2"/>
      </w:numPr>
      <w:spacing w:before="240" w:after="60"/>
      <w:outlineLvl w:val="3"/>
    </w:pPr>
    <w:rPr>
      <w:b/>
      <w:bCs/>
      <w:i/>
      <w:sz w:val="20"/>
      <w:szCs w:val="28"/>
    </w:rPr>
  </w:style>
  <w:style w:type="paragraph" w:styleId="7">
    <w:name w:val="heading 5"/>
    <w:basedOn w:val="1"/>
    <w:next w:val="1"/>
    <w:link w:val="37"/>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35"/>
    <w:qFormat/>
    <w:uiPriority w:val="0"/>
    <w:pPr>
      <w:spacing w:after="120"/>
      <w:jc w:val="both"/>
    </w:pPr>
    <w:rPr>
      <w:rFonts w:ascii="Times" w:hAnsi="Times"/>
      <w:sz w:val="20"/>
    </w:rPr>
  </w:style>
  <w:style w:type="paragraph" w:styleId="8">
    <w:name w:val="caption"/>
    <w:basedOn w:val="1"/>
    <w:next w:val="1"/>
    <w:link w:val="39"/>
    <w:qFormat/>
    <w:uiPriority w:val="35"/>
    <w:pPr>
      <w:spacing w:before="120" w:after="120"/>
    </w:pPr>
    <w:rPr>
      <w:b/>
      <w:bCs/>
      <w:sz w:val="20"/>
      <w:szCs w:val="20"/>
    </w:rPr>
  </w:style>
  <w:style w:type="paragraph" w:styleId="9">
    <w:name w:val="Document Map"/>
    <w:basedOn w:val="1"/>
    <w:semiHidden/>
    <w:qFormat/>
    <w:uiPriority w:val="0"/>
    <w:pPr>
      <w:shd w:val="clear" w:color="auto" w:fill="000080"/>
    </w:pPr>
  </w:style>
  <w:style w:type="paragraph" w:styleId="10">
    <w:name w:val="annotation text"/>
    <w:basedOn w:val="1"/>
    <w:link w:val="97"/>
    <w:qFormat/>
    <w:uiPriority w:val="0"/>
    <w:rPr>
      <w:sz w:val="20"/>
      <w:szCs w:val="20"/>
    </w:rPr>
  </w:style>
  <w:style w:type="paragraph" w:styleId="11">
    <w:name w:val="List Number 3"/>
    <w:basedOn w:val="1"/>
    <w:qFormat/>
    <w:uiPriority w:val="0"/>
    <w:pPr>
      <w:numPr>
        <w:ilvl w:val="0"/>
        <w:numId w:val="3"/>
      </w:numPr>
      <w:overflowPunct w:val="0"/>
      <w:autoSpaceDE w:val="0"/>
      <w:autoSpaceDN w:val="0"/>
      <w:adjustRightInd w:val="0"/>
      <w:spacing w:after="180"/>
      <w:textAlignment w:val="baseline"/>
    </w:pPr>
    <w:rPr>
      <w:sz w:val="20"/>
      <w:szCs w:val="20"/>
      <w:lang w:val="en-GB"/>
    </w:rPr>
  </w:style>
  <w:style w:type="paragraph" w:styleId="12">
    <w:name w:val="List 2"/>
    <w:basedOn w:val="1"/>
    <w:qFormat/>
    <w:uiPriority w:val="0"/>
    <w:pPr>
      <w:ind w:left="100" w:leftChars="200" w:hanging="200" w:hangingChars="200"/>
    </w:pPr>
  </w:style>
  <w:style w:type="paragraph" w:styleId="13">
    <w:name w:val="endnote text"/>
    <w:basedOn w:val="1"/>
    <w:link w:val="45"/>
    <w:qFormat/>
    <w:uiPriority w:val="0"/>
    <w:pPr>
      <w:snapToGrid w:val="0"/>
    </w:pPr>
  </w:style>
  <w:style w:type="paragraph" w:styleId="14">
    <w:name w:val="Balloon Text"/>
    <w:basedOn w:val="1"/>
    <w:semiHidden/>
    <w:qFormat/>
    <w:uiPriority w:val="0"/>
    <w:rPr>
      <w:rFonts w:ascii="Arial" w:hAnsi="Arial" w:eastAsia="MS Gothic"/>
      <w:sz w:val="18"/>
      <w:szCs w:val="18"/>
    </w:rPr>
  </w:style>
  <w:style w:type="paragraph" w:styleId="15">
    <w:name w:val="footer"/>
    <w:basedOn w:val="1"/>
    <w:link w:val="41"/>
    <w:qFormat/>
    <w:uiPriority w:val="0"/>
    <w:pPr>
      <w:tabs>
        <w:tab w:val="center" w:pos="4153"/>
        <w:tab w:val="right" w:pos="8306"/>
      </w:tabs>
      <w:snapToGrid w:val="0"/>
    </w:pPr>
    <w:rPr>
      <w:sz w:val="18"/>
      <w:szCs w:val="18"/>
    </w:rPr>
  </w:style>
  <w:style w:type="paragraph" w:styleId="16">
    <w:name w:val="header"/>
    <w:basedOn w:val="1"/>
    <w:link w:val="38"/>
    <w:qFormat/>
    <w:uiPriority w:val="0"/>
    <w:pPr>
      <w:tabs>
        <w:tab w:val="left" w:pos="2552"/>
      </w:tabs>
    </w:pPr>
    <w:rPr>
      <w:rFonts w:ascii="Arial" w:hAnsi="Arial"/>
      <w:b/>
      <w:sz w:val="20"/>
    </w:rPr>
  </w:style>
  <w:style w:type="paragraph" w:styleId="17">
    <w:name w:val="Subtitle"/>
    <w:basedOn w:val="1"/>
    <w:next w:val="1"/>
    <w:link w:val="77"/>
    <w:qFormat/>
    <w:uiPriority w:val="0"/>
    <w:pPr>
      <w:spacing w:before="240" w:after="60" w:line="312" w:lineRule="auto"/>
      <w:jc w:val="center"/>
      <w:outlineLvl w:val="1"/>
    </w:pPr>
    <w:rPr>
      <w:rFonts w:eastAsia="宋体" w:asciiTheme="majorHAnsi" w:hAnsiTheme="majorHAnsi" w:cstheme="majorBidi"/>
      <w:b/>
      <w:bCs/>
      <w:kern w:val="28"/>
      <w:sz w:val="32"/>
      <w:szCs w:val="32"/>
    </w:rPr>
  </w:style>
  <w:style w:type="paragraph" w:styleId="18">
    <w:name w:val="List"/>
    <w:basedOn w:val="1"/>
    <w:qFormat/>
    <w:uiPriority w:val="0"/>
    <w:pPr>
      <w:ind w:left="200" w:hanging="200" w:hangingChars="200"/>
    </w:pPr>
  </w:style>
  <w:style w:type="paragraph" w:styleId="19">
    <w:name w:val="footnote text"/>
    <w:basedOn w:val="1"/>
    <w:link w:val="44"/>
    <w:qFormat/>
    <w:uiPriority w:val="0"/>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20">
    <w:name w:val="Normal (Web)"/>
    <w:basedOn w:val="1"/>
    <w:unhideWhenUsed/>
    <w:qFormat/>
    <w:uiPriority w:val="99"/>
    <w:pPr>
      <w:spacing w:before="100" w:beforeAutospacing="1" w:after="100" w:afterAutospacing="1"/>
    </w:pPr>
    <w:rPr>
      <w:rFonts w:ascii="宋体" w:hAnsi="宋体" w:eastAsia="宋体" w:cs="宋体"/>
      <w:lang w:eastAsia="zh-CN"/>
    </w:rPr>
  </w:style>
  <w:style w:type="paragraph" w:styleId="21">
    <w:name w:val="annotation subject"/>
    <w:basedOn w:val="10"/>
    <w:next w:val="10"/>
    <w:semiHidden/>
    <w:qFormat/>
    <w:uiPriority w:val="0"/>
    <w:rPr>
      <w:b/>
      <w:bCs/>
    </w:rPr>
  </w:style>
  <w:style w:type="table" w:styleId="23">
    <w:name w:val="Table Grid"/>
    <w:basedOn w:val="2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4">
    <w:name w:val="Table Elegant"/>
    <w:basedOn w:val="22"/>
    <w:qFormat/>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25">
    <w:name w:val="Table Classic 1"/>
    <w:basedOn w:val="22"/>
    <w:qFormat/>
    <w:uiPriority w:val="0"/>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27">
    <w:name w:val="Strong"/>
    <w:basedOn w:val="26"/>
    <w:qFormat/>
    <w:uiPriority w:val="22"/>
    <w:rPr>
      <w:b/>
      <w:bCs/>
    </w:rPr>
  </w:style>
  <w:style w:type="character" w:styleId="28">
    <w:name w:val="endnote reference"/>
    <w:qFormat/>
    <w:uiPriority w:val="0"/>
    <w:rPr>
      <w:vertAlign w:val="superscript"/>
    </w:rPr>
  </w:style>
  <w:style w:type="character" w:styleId="29">
    <w:name w:val="page number"/>
    <w:basedOn w:val="26"/>
    <w:qFormat/>
    <w:uiPriority w:val="0"/>
  </w:style>
  <w:style w:type="character" w:styleId="30">
    <w:name w:val="FollowedHyperlink"/>
    <w:basedOn w:val="26"/>
    <w:semiHidden/>
    <w:unhideWhenUsed/>
    <w:qFormat/>
    <w:uiPriority w:val="99"/>
    <w:rPr>
      <w:color w:val="954F72"/>
      <w:u w:val="single"/>
    </w:rPr>
  </w:style>
  <w:style w:type="character" w:styleId="31">
    <w:name w:val="Emphasis"/>
    <w:qFormat/>
    <w:uiPriority w:val="0"/>
    <w:rPr>
      <w:i/>
      <w:iCs/>
    </w:rPr>
  </w:style>
  <w:style w:type="character" w:styleId="32">
    <w:name w:val="Hyperlink"/>
    <w:qFormat/>
    <w:uiPriority w:val="99"/>
    <w:rPr>
      <w:color w:val="0000FF"/>
      <w:u w:val="single"/>
    </w:rPr>
  </w:style>
  <w:style w:type="character" w:styleId="33">
    <w:name w:val="annotation reference"/>
    <w:qFormat/>
    <w:uiPriority w:val="0"/>
    <w:rPr>
      <w:sz w:val="16"/>
      <w:szCs w:val="16"/>
    </w:rPr>
  </w:style>
  <w:style w:type="character" w:styleId="34">
    <w:name w:val="footnote reference"/>
    <w:qFormat/>
    <w:uiPriority w:val="0"/>
    <w:rPr>
      <w:position w:val="6"/>
      <w:sz w:val="18"/>
    </w:rPr>
  </w:style>
  <w:style w:type="character" w:customStyle="1" w:styleId="35">
    <w:name w:val="正文文本 字符"/>
    <w:link w:val="3"/>
    <w:qFormat/>
    <w:uiPriority w:val="0"/>
    <w:rPr>
      <w:rFonts w:ascii="Times" w:hAnsi="Times"/>
      <w:szCs w:val="24"/>
      <w:lang w:val="en-US" w:eastAsia="en-US" w:bidi="ar-SA"/>
    </w:rPr>
  </w:style>
  <w:style w:type="character" w:customStyle="1" w:styleId="36">
    <w:name w:val="标题 3 字符"/>
    <w:link w:val="5"/>
    <w:qFormat/>
    <w:uiPriority w:val="0"/>
    <w:rPr>
      <w:rFonts w:ascii="Arial" w:hAnsi="Arial" w:eastAsia="Times New Roman" w:cs="Arial"/>
      <w:b/>
      <w:bCs/>
      <w:sz w:val="21"/>
      <w:szCs w:val="26"/>
      <w:lang w:eastAsia="en-US"/>
    </w:rPr>
  </w:style>
  <w:style w:type="character" w:customStyle="1" w:styleId="37">
    <w:name w:val="标题 5 字符"/>
    <w:link w:val="7"/>
    <w:semiHidden/>
    <w:qFormat/>
    <w:uiPriority w:val="0"/>
    <w:rPr>
      <w:rFonts w:eastAsia="Times New Roman"/>
      <w:b/>
      <w:bCs/>
      <w:sz w:val="28"/>
      <w:szCs w:val="28"/>
      <w:lang w:eastAsia="en-US"/>
    </w:rPr>
  </w:style>
  <w:style w:type="character" w:customStyle="1" w:styleId="38">
    <w:name w:val="页眉 字符1"/>
    <w:link w:val="16"/>
    <w:qFormat/>
    <w:locked/>
    <w:uiPriority w:val="0"/>
    <w:rPr>
      <w:rFonts w:ascii="Arial" w:hAnsi="Arial" w:eastAsia="Times New Roman"/>
      <w:b/>
      <w:szCs w:val="24"/>
      <w:lang w:eastAsia="en-US"/>
    </w:rPr>
  </w:style>
  <w:style w:type="character" w:customStyle="1" w:styleId="39">
    <w:name w:val="题注 字符"/>
    <w:link w:val="8"/>
    <w:qFormat/>
    <w:uiPriority w:val="35"/>
    <w:rPr>
      <w:rFonts w:eastAsia="Times New Roman"/>
      <w:b/>
      <w:bCs/>
      <w:lang w:eastAsia="en-US"/>
    </w:rPr>
  </w:style>
  <w:style w:type="paragraph" w:customStyle="1" w:styleId="40">
    <w:name w:val="Char Char16"/>
    <w:basedOn w:val="9"/>
    <w:qFormat/>
    <w:uiPriority w:val="0"/>
    <w:pPr>
      <w:widowControl w:val="0"/>
      <w:adjustRightInd w:val="0"/>
      <w:spacing w:line="436" w:lineRule="exact"/>
      <w:ind w:left="357"/>
      <w:outlineLvl w:val="3"/>
    </w:pPr>
    <w:rPr>
      <w:rFonts w:ascii="Tahoma" w:hAnsi="Tahoma" w:eastAsia="宋体"/>
      <w:b/>
      <w:kern w:val="2"/>
      <w:lang w:eastAsia="zh-CN"/>
    </w:rPr>
  </w:style>
  <w:style w:type="character" w:customStyle="1" w:styleId="41">
    <w:name w:val="页脚 字符"/>
    <w:link w:val="15"/>
    <w:qFormat/>
    <w:uiPriority w:val="99"/>
    <w:rPr>
      <w:rFonts w:eastAsia="Times New Roman"/>
      <w:sz w:val="18"/>
      <w:szCs w:val="18"/>
      <w:lang w:eastAsia="en-US"/>
    </w:rPr>
  </w:style>
  <w:style w:type="paragraph" w:customStyle="1" w:styleId="42">
    <w:name w:val="TF"/>
    <w:basedOn w:val="1"/>
    <w:qFormat/>
    <w:uiPriority w:val="0"/>
    <w:pPr>
      <w:keepLines/>
      <w:overflowPunct w:val="0"/>
      <w:autoSpaceDE w:val="0"/>
      <w:autoSpaceDN w:val="0"/>
      <w:adjustRightInd w:val="0"/>
      <w:spacing w:after="240"/>
      <w:jc w:val="center"/>
      <w:textAlignment w:val="baseline"/>
    </w:pPr>
    <w:rPr>
      <w:rFonts w:ascii="Arial" w:hAnsi="Arial" w:eastAsia="宋体"/>
      <w:b/>
      <w:sz w:val="20"/>
      <w:szCs w:val="20"/>
      <w:lang w:val="en-GB"/>
    </w:rPr>
  </w:style>
  <w:style w:type="paragraph" w:customStyle="1" w:styleId="43">
    <w:name w:val="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
    <w:name w:val="脚注文本 字符"/>
    <w:link w:val="19"/>
    <w:qFormat/>
    <w:uiPriority w:val="0"/>
    <w:rPr>
      <w:rFonts w:eastAsia="宋体"/>
      <w:sz w:val="22"/>
      <w:lang w:val="en-GB" w:eastAsia="en-US"/>
    </w:rPr>
  </w:style>
  <w:style w:type="character" w:customStyle="1" w:styleId="45">
    <w:name w:val="尾注文本 字符"/>
    <w:link w:val="13"/>
    <w:qFormat/>
    <w:uiPriority w:val="0"/>
    <w:rPr>
      <w:rFonts w:eastAsia="Times New Roman"/>
      <w:sz w:val="24"/>
      <w:szCs w:val="24"/>
      <w:lang w:eastAsia="en-US"/>
    </w:rPr>
  </w:style>
  <w:style w:type="paragraph" w:customStyle="1" w:styleId="46">
    <w:name w:val="修订1"/>
    <w:hidden/>
    <w:semiHidden/>
    <w:qFormat/>
    <w:uiPriority w:val="99"/>
    <w:rPr>
      <w:rFonts w:ascii="Times New Roman" w:hAnsi="Times New Roman" w:eastAsia="Times New Roman" w:cs="Times New Roman"/>
      <w:sz w:val="24"/>
      <w:szCs w:val="24"/>
      <w:lang w:val="en-US" w:eastAsia="en-US" w:bidi="ar-SA"/>
    </w:rPr>
  </w:style>
  <w:style w:type="paragraph" w:customStyle="1" w:styleId="47">
    <w:name w:val="Normal_after_title"/>
    <w:basedOn w:val="1"/>
    <w:next w:val="1"/>
    <w:link w:val="48"/>
    <w:qFormat/>
    <w:uiPriority w:val="0"/>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48">
    <w:name w:val="Normal_after_title Char"/>
    <w:link w:val="47"/>
    <w:qFormat/>
    <w:uiPriority w:val="0"/>
    <w:rPr>
      <w:rFonts w:eastAsia="Batang"/>
      <w:sz w:val="24"/>
      <w:lang w:val="en-GB" w:eastAsia="en-US"/>
    </w:rPr>
  </w:style>
  <w:style w:type="paragraph" w:customStyle="1" w:styleId="49">
    <w:name w:val="Equation"/>
    <w:basedOn w:val="1"/>
    <w:link w:val="50"/>
    <w:qFormat/>
    <w:uiPriority w:val="0"/>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50">
    <w:name w:val="Equation.eq Char"/>
    <w:link w:val="49"/>
    <w:qFormat/>
    <w:uiPriority w:val="0"/>
    <w:rPr>
      <w:rFonts w:eastAsia="Batang"/>
      <w:sz w:val="24"/>
      <w:lang w:val="en-GB" w:eastAsia="en-US"/>
    </w:rPr>
  </w:style>
  <w:style w:type="paragraph" w:customStyle="1" w:styleId="51">
    <w:name w:val="Char1 Char Char1 Char"/>
    <w:basedOn w:val="1"/>
    <w:qFormat/>
    <w:uiPriority w:val="0"/>
    <w:pPr>
      <w:tabs>
        <w:tab w:val="left" w:pos="540"/>
        <w:tab w:val="left" w:pos="1260"/>
        <w:tab w:val="left" w:pos="1800"/>
      </w:tabs>
      <w:spacing w:before="240" w:after="160" w:line="240" w:lineRule="exact"/>
    </w:pPr>
    <w:rPr>
      <w:rFonts w:ascii="Verdana" w:hAnsi="Verdana" w:eastAsia="Batang"/>
      <w:szCs w:val="20"/>
    </w:rPr>
  </w:style>
  <w:style w:type="paragraph" w:customStyle="1" w:styleId="52">
    <w:name w:val="Figure_title"/>
    <w:basedOn w:val="1"/>
    <w:next w:val="1"/>
    <w:link w:val="53"/>
    <w:qFormat/>
    <w:uiPriority w:val="0"/>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53">
    <w:name w:val="Figure_title Char"/>
    <w:link w:val="52"/>
    <w:qFormat/>
    <w:uiPriority w:val="0"/>
    <w:rPr>
      <w:rFonts w:eastAsia="Batang"/>
      <w:b/>
      <w:sz w:val="24"/>
      <w:lang w:val="en-GB" w:eastAsia="en-US"/>
    </w:rPr>
  </w:style>
  <w:style w:type="paragraph" w:styleId="54">
    <w:name w:val="List Paragraph"/>
    <w:basedOn w:val="1"/>
    <w:link w:val="55"/>
    <w:qFormat/>
    <w:uiPriority w:val="34"/>
    <w:pPr>
      <w:ind w:firstLine="420" w:firstLineChars="200"/>
    </w:pPr>
    <w:rPr>
      <w:rFonts w:ascii="宋体" w:hAnsi="宋体" w:eastAsia="宋体" w:cs="宋体"/>
      <w:lang w:eastAsia="zh-CN"/>
    </w:rPr>
  </w:style>
  <w:style w:type="character" w:customStyle="1" w:styleId="55">
    <w:name w:val="列表段落 字符"/>
    <w:link w:val="54"/>
    <w:qFormat/>
    <w:locked/>
    <w:uiPriority w:val="34"/>
    <w:rPr>
      <w:rFonts w:ascii="宋体" w:hAnsi="宋体" w:cs="宋体"/>
      <w:sz w:val="24"/>
      <w:szCs w:val="24"/>
    </w:rPr>
  </w:style>
  <w:style w:type="paragraph" w:customStyle="1" w:styleId="56">
    <w:name w:val="PaperTableCell"/>
    <w:basedOn w:val="1"/>
    <w:qFormat/>
    <w:uiPriority w:val="0"/>
    <w:pPr>
      <w:jc w:val="both"/>
    </w:pPr>
    <w:rPr>
      <w:sz w:val="16"/>
      <w:szCs w:val="20"/>
    </w:rPr>
  </w:style>
  <w:style w:type="paragraph" w:customStyle="1" w:styleId="57">
    <w:name w:val="TAH"/>
    <w:basedOn w:val="58"/>
    <w:link w:val="60"/>
    <w:qFormat/>
    <w:uiPriority w:val="0"/>
    <w:rPr>
      <w:b/>
    </w:rPr>
  </w:style>
  <w:style w:type="paragraph" w:customStyle="1" w:styleId="58">
    <w:name w:val="TAC"/>
    <w:basedOn w:val="1"/>
    <w:link w:val="59"/>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59">
    <w:name w:val="TAC Char"/>
    <w:link w:val="58"/>
    <w:qFormat/>
    <w:locked/>
    <w:uiPriority w:val="0"/>
    <w:rPr>
      <w:rFonts w:ascii="Arial" w:hAnsi="Arial" w:eastAsia="Times New Roman"/>
      <w:sz w:val="18"/>
      <w:lang w:val="en-GB" w:eastAsia="en-GB"/>
    </w:rPr>
  </w:style>
  <w:style w:type="character" w:customStyle="1" w:styleId="60">
    <w:name w:val="TAH Car"/>
    <w:link w:val="57"/>
    <w:qFormat/>
    <w:uiPriority w:val="0"/>
    <w:rPr>
      <w:rFonts w:ascii="Arial" w:hAnsi="Arial" w:eastAsia="Times New Roman"/>
      <w:b/>
      <w:sz w:val="18"/>
      <w:lang w:val="en-GB" w:eastAsia="en-GB"/>
    </w:rPr>
  </w:style>
  <w:style w:type="paragraph" w:customStyle="1" w:styleId="61">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62">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3">
    <w:name w:val="B1"/>
    <w:basedOn w:val="18"/>
    <w:link w:val="64"/>
    <w:qFormat/>
    <w:uiPriority w:val="0"/>
    <w:pPr>
      <w:overflowPunct w:val="0"/>
      <w:autoSpaceDE w:val="0"/>
      <w:autoSpaceDN w:val="0"/>
      <w:adjustRightInd w:val="0"/>
      <w:spacing w:after="180"/>
      <w:ind w:left="568" w:hanging="284" w:firstLineChars="0"/>
      <w:textAlignment w:val="baseline"/>
    </w:pPr>
    <w:rPr>
      <w:sz w:val="20"/>
      <w:szCs w:val="20"/>
      <w:lang w:val="en-GB" w:eastAsia="en-GB"/>
    </w:rPr>
  </w:style>
  <w:style w:type="character" w:customStyle="1" w:styleId="64">
    <w:name w:val="B1 (文字)"/>
    <w:link w:val="63"/>
    <w:qFormat/>
    <w:uiPriority w:val="0"/>
    <w:rPr>
      <w:lang w:val="en-GB" w:eastAsia="en-GB" w:bidi="ar-SA"/>
    </w:rPr>
  </w:style>
  <w:style w:type="paragraph" w:customStyle="1" w:styleId="65">
    <w:name w:val="B2"/>
    <w:basedOn w:val="12"/>
    <w:link w:val="66"/>
    <w:qFormat/>
    <w:uiPriority w:val="0"/>
    <w:pPr>
      <w:overflowPunct w:val="0"/>
      <w:autoSpaceDE w:val="0"/>
      <w:autoSpaceDN w:val="0"/>
      <w:adjustRightInd w:val="0"/>
      <w:spacing w:after="180"/>
      <w:ind w:left="851" w:leftChars="0" w:hanging="284" w:firstLineChars="0"/>
      <w:textAlignment w:val="baseline"/>
    </w:pPr>
    <w:rPr>
      <w:sz w:val="20"/>
      <w:szCs w:val="20"/>
      <w:lang w:val="en-GB" w:eastAsia="en-GB"/>
    </w:rPr>
  </w:style>
  <w:style w:type="character" w:customStyle="1" w:styleId="66">
    <w:name w:val="B2 Char"/>
    <w:link w:val="65"/>
    <w:qFormat/>
    <w:uiPriority w:val="0"/>
    <w:rPr>
      <w:rFonts w:eastAsia="Times New Roman"/>
      <w:lang w:val="en-GB" w:eastAsia="en-GB"/>
    </w:rPr>
  </w:style>
  <w:style w:type="paragraph" w:customStyle="1" w:styleId="67">
    <w:name w:val="TH"/>
    <w:basedOn w:val="1"/>
    <w:link w:val="68"/>
    <w:qFormat/>
    <w:uiPriority w:val="0"/>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68">
    <w:name w:val="TH Char"/>
    <w:link w:val="67"/>
    <w:qFormat/>
    <w:uiPriority w:val="0"/>
    <w:rPr>
      <w:rFonts w:ascii="Arial" w:hAnsi="Arial"/>
      <w:b/>
      <w:lang w:val="en-GB" w:eastAsia="en-GB" w:bidi="ar-SA"/>
    </w:rPr>
  </w:style>
  <w:style w:type="paragraph" w:customStyle="1" w:styleId="69">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70">
    <w:name w:val="EX"/>
    <w:basedOn w:val="1"/>
    <w:qFormat/>
    <w:uiPriority w:val="0"/>
    <w:pPr>
      <w:keepLines/>
      <w:overflowPunct w:val="0"/>
      <w:autoSpaceDE w:val="0"/>
      <w:autoSpaceDN w:val="0"/>
      <w:adjustRightInd w:val="0"/>
      <w:spacing w:after="180"/>
      <w:ind w:left="1702" w:hanging="1418"/>
      <w:textAlignment w:val="baseline"/>
    </w:pPr>
    <w:rPr>
      <w:sz w:val="20"/>
      <w:szCs w:val="20"/>
      <w:lang w:val="en-GB" w:eastAsia="en-GB"/>
    </w:rPr>
  </w:style>
  <w:style w:type="character" w:styleId="71">
    <w:name w:val="Placeholder Text"/>
    <w:basedOn w:val="26"/>
    <w:semiHidden/>
    <w:qFormat/>
    <w:uiPriority w:val="99"/>
    <w:rPr>
      <w:color w:val="808080"/>
    </w:rPr>
  </w:style>
  <w:style w:type="paragraph" w:customStyle="1" w:styleId="72">
    <w:name w:val="TAL"/>
    <w:basedOn w:val="1"/>
    <w:link w:val="73"/>
    <w:qFormat/>
    <w:uiPriority w:val="0"/>
    <w:pPr>
      <w:keepNext/>
      <w:keepLines/>
    </w:pPr>
    <w:rPr>
      <w:rFonts w:ascii="Arial" w:hAnsi="Arial" w:eastAsiaTheme="minorEastAsia"/>
      <w:sz w:val="18"/>
      <w:szCs w:val="20"/>
      <w:lang w:val="en-GB"/>
    </w:rPr>
  </w:style>
  <w:style w:type="character" w:customStyle="1" w:styleId="73">
    <w:name w:val="TAL Char"/>
    <w:link w:val="72"/>
    <w:qFormat/>
    <w:uiPriority w:val="0"/>
    <w:rPr>
      <w:rFonts w:ascii="Arial" w:hAnsi="Arial" w:eastAsiaTheme="minorEastAsia"/>
      <w:sz w:val="18"/>
      <w:lang w:val="en-GB" w:eastAsia="en-US"/>
    </w:rPr>
  </w:style>
  <w:style w:type="character" w:customStyle="1" w:styleId="74">
    <w:name w:val="B1 Zchn"/>
    <w:qFormat/>
    <w:uiPriority w:val="0"/>
    <w:rPr>
      <w:lang w:eastAsia="en-US"/>
    </w:rPr>
  </w:style>
  <w:style w:type="paragraph" w:customStyle="1" w:styleId="75">
    <w:name w:val="3GPP Normal Text"/>
    <w:basedOn w:val="3"/>
    <w:link w:val="76"/>
    <w:qFormat/>
    <w:uiPriority w:val="0"/>
    <w:pPr>
      <w:ind w:left="720" w:hanging="720"/>
    </w:pPr>
    <w:rPr>
      <w:rFonts w:ascii="Times New Roman" w:hAnsi="Times New Roman" w:eastAsia="MS Mincho"/>
      <w:sz w:val="22"/>
      <w:lang w:val="zh-CN" w:eastAsia="zh-CN"/>
    </w:rPr>
  </w:style>
  <w:style w:type="character" w:customStyle="1" w:styleId="76">
    <w:name w:val="3GPP Normal Text Char"/>
    <w:link w:val="75"/>
    <w:qFormat/>
    <w:uiPriority w:val="0"/>
    <w:rPr>
      <w:rFonts w:eastAsia="MS Mincho"/>
      <w:sz w:val="22"/>
      <w:szCs w:val="24"/>
      <w:lang w:val="zh-CN" w:eastAsia="zh-CN"/>
    </w:rPr>
  </w:style>
  <w:style w:type="character" w:customStyle="1" w:styleId="77">
    <w:name w:val="副标题 字符"/>
    <w:basedOn w:val="26"/>
    <w:link w:val="17"/>
    <w:qFormat/>
    <w:uiPriority w:val="0"/>
    <w:rPr>
      <w:rFonts w:asciiTheme="majorHAnsi" w:hAnsiTheme="majorHAnsi" w:cstheme="majorBidi"/>
      <w:b/>
      <w:bCs/>
      <w:kern w:val="28"/>
      <w:sz w:val="32"/>
      <w:szCs w:val="32"/>
      <w:lang w:eastAsia="en-US"/>
    </w:rPr>
  </w:style>
  <w:style w:type="character" w:customStyle="1" w:styleId="78">
    <w:name w:val="B1 Char"/>
    <w:qFormat/>
    <w:uiPriority w:val="0"/>
    <w:rPr>
      <w:lang w:val="en-GB" w:eastAsia="en-US" w:bidi="ar-SA"/>
    </w:rPr>
  </w:style>
  <w:style w:type="character" w:customStyle="1" w:styleId="79">
    <w:name w:val="页眉 字符"/>
    <w:qFormat/>
    <w:uiPriority w:val="0"/>
    <w:rPr>
      <w:rFonts w:ascii="Arial" w:hAnsi="Arial" w:eastAsia="MS Mincho"/>
      <w:b/>
      <w:szCs w:val="24"/>
      <w:lang w:val="en-US" w:eastAsia="en-US" w:bidi="ar-SA"/>
    </w:rPr>
  </w:style>
  <w:style w:type="paragraph" w:customStyle="1" w:styleId="80">
    <w:name w:val="xl65"/>
    <w:basedOn w:val="1"/>
    <w:qFormat/>
    <w:uiPriority w:val="0"/>
    <w:pPr>
      <w:spacing w:before="100" w:beforeAutospacing="1" w:after="100" w:afterAutospacing="1"/>
      <w:jc w:val="center"/>
    </w:pPr>
    <w:rPr>
      <w:rFonts w:ascii="Arial" w:hAnsi="Arial" w:eastAsia="宋体" w:cs="Arial"/>
      <w:sz w:val="20"/>
      <w:szCs w:val="20"/>
      <w:lang w:eastAsia="zh-CN"/>
    </w:rPr>
  </w:style>
  <w:style w:type="paragraph" w:customStyle="1" w:styleId="81">
    <w:name w:val="font5"/>
    <w:basedOn w:val="1"/>
    <w:qFormat/>
    <w:uiPriority w:val="0"/>
    <w:pPr>
      <w:spacing w:before="100" w:beforeAutospacing="1" w:after="100" w:afterAutospacing="1"/>
    </w:pPr>
    <w:rPr>
      <w:rFonts w:ascii="宋体" w:hAnsi="宋体" w:eastAsia="宋体" w:cs="宋体"/>
      <w:sz w:val="18"/>
      <w:szCs w:val="18"/>
      <w:lang w:eastAsia="zh-CN"/>
    </w:rPr>
  </w:style>
  <w:style w:type="paragraph" w:customStyle="1" w:styleId="82">
    <w:name w:val="xl66"/>
    <w:basedOn w:val="1"/>
    <w:qFormat/>
    <w:uiPriority w:val="0"/>
    <w:pPr>
      <w:pBdr>
        <w:bottom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3">
    <w:name w:val="xl67"/>
    <w:basedOn w:val="1"/>
    <w:qFormat/>
    <w:uiPriority w:val="0"/>
    <w:pPr>
      <w:pBdr>
        <w:top w:val="single" w:color="auto" w:sz="8" w:space="0"/>
        <w:left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4">
    <w:name w:val="xl68"/>
    <w:basedOn w:val="1"/>
    <w:qFormat/>
    <w:uiPriority w:val="0"/>
    <w:pPr>
      <w:pBdr>
        <w:left w:val="single" w:color="auto" w:sz="8" w:space="0"/>
        <w:bottom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5">
    <w:name w:val="xl69"/>
    <w:basedOn w:val="1"/>
    <w:qFormat/>
    <w:uiPriority w:val="0"/>
    <w:pPr>
      <w:pBdr>
        <w:top w:val="single" w:color="auto" w:sz="8" w:space="0"/>
        <w:bottom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6">
    <w:name w:val="xl70"/>
    <w:basedOn w:val="1"/>
    <w:qFormat/>
    <w:uiPriority w:val="0"/>
    <w:pPr>
      <w:pBdr>
        <w:top w:val="single" w:color="auto" w:sz="8" w:space="0"/>
        <w:left w:val="single" w:color="auto" w:sz="8" w:space="0"/>
        <w:bottom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7">
    <w:name w:val="xl71"/>
    <w:basedOn w:val="1"/>
    <w:qFormat/>
    <w:uiPriority w:val="0"/>
    <w:pPr>
      <w:pBdr>
        <w:top w:val="single" w:color="auto" w:sz="8" w:space="0"/>
        <w:bottom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character" w:customStyle="1" w:styleId="88">
    <w:name w:val="页眉 Char1"/>
    <w:qFormat/>
    <w:uiPriority w:val="0"/>
    <w:rPr>
      <w:rFonts w:ascii="Arial" w:hAnsi="Arial" w:eastAsia="MS Mincho"/>
      <w:b/>
      <w:szCs w:val="24"/>
      <w:lang w:val="en-US" w:eastAsia="en-US" w:bidi="ar-SA"/>
    </w:rPr>
  </w:style>
  <w:style w:type="character" w:customStyle="1" w:styleId="89">
    <w:name w:val="fontstyle01"/>
    <w:basedOn w:val="26"/>
    <w:qFormat/>
    <w:uiPriority w:val="0"/>
    <w:rPr>
      <w:rFonts w:hint="default" w:ascii="Times New Roman" w:hAnsi="Times New Roman" w:cs="Times New Roman"/>
      <w:i/>
      <w:iCs/>
      <w:color w:val="000000"/>
      <w:sz w:val="20"/>
      <w:szCs w:val="20"/>
    </w:rPr>
  </w:style>
  <w:style w:type="paragraph" w:customStyle="1" w:styleId="9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91">
    <w:name w:val="标题 1 字符"/>
    <w:basedOn w:val="26"/>
    <w:link w:val="2"/>
    <w:qFormat/>
    <w:uiPriority w:val="0"/>
    <w:rPr>
      <w:rFonts w:ascii="Helvetica" w:hAnsi="Helvetica" w:eastAsia="Times New Roman" w:cs="Arial"/>
      <w:b/>
      <w:bCs/>
      <w:kern w:val="32"/>
      <w:sz w:val="28"/>
      <w:szCs w:val="32"/>
      <w:lang w:eastAsia="en-US"/>
    </w:rPr>
  </w:style>
  <w:style w:type="character" w:customStyle="1" w:styleId="92">
    <w:name w:val="列出段落 Char"/>
    <w:link w:val="93"/>
    <w:qFormat/>
    <w:uiPriority w:val="34"/>
    <w:rPr>
      <w:rFonts w:ascii="Times" w:hAnsi="Times"/>
      <w:szCs w:val="24"/>
      <w:lang w:val="en-GB"/>
    </w:rPr>
  </w:style>
  <w:style w:type="paragraph" w:customStyle="1" w:styleId="93">
    <w:name w:val="3"/>
    <w:basedOn w:val="1"/>
    <w:next w:val="54"/>
    <w:link w:val="92"/>
    <w:qFormat/>
    <w:uiPriority w:val="34"/>
    <w:pPr>
      <w:overflowPunct w:val="0"/>
      <w:autoSpaceDE w:val="0"/>
      <w:autoSpaceDN w:val="0"/>
      <w:adjustRightInd w:val="0"/>
      <w:spacing w:after="180"/>
      <w:ind w:left="720"/>
      <w:textAlignment w:val="baseline"/>
    </w:pPr>
    <w:rPr>
      <w:rFonts w:ascii="Times" w:hAnsi="Times" w:eastAsia="宋体"/>
      <w:sz w:val="20"/>
      <w:lang w:val="en-GB" w:eastAsia="zh-CN"/>
    </w:rPr>
  </w:style>
  <w:style w:type="paragraph" w:customStyle="1" w:styleId="94">
    <w:name w:val="样式1"/>
    <w:basedOn w:val="4"/>
    <w:link w:val="96"/>
    <w:qFormat/>
    <w:uiPriority w:val="0"/>
    <w:pPr>
      <w:numPr>
        <w:ilvl w:val="2"/>
        <w:numId w:val="5"/>
      </w:numPr>
      <w:outlineLvl w:val="2"/>
    </w:pPr>
  </w:style>
  <w:style w:type="character" w:customStyle="1" w:styleId="95">
    <w:name w:val="标题 2 字符"/>
    <w:basedOn w:val="26"/>
    <w:link w:val="4"/>
    <w:qFormat/>
    <w:uiPriority w:val="0"/>
    <w:rPr>
      <w:rFonts w:ascii="Helvetica" w:hAnsi="Helvetica" w:eastAsia="Times New Roman" w:cs="Arial"/>
      <w:b/>
      <w:bCs/>
      <w:iCs/>
      <w:sz w:val="24"/>
      <w:szCs w:val="28"/>
      <w:lang w:eastAsia="en-US"/>
    </w:rPr>
  </w:style>
  <w:style w:type="character" w:customStyle="1" w:styleId="96">
    <w:name w:val="样式1 字符"/>
    <w:basedOn w:val="95"/>
    <w:link w:val="94"/>
    <w:qFormat/>
    <w:uiPriority w:val="0"/>
    <w:rPr>
      <w:rFonts w:ascii="Helvetica" w:hAnsi="Helvetica" w:eastAsia="Times New Roman" w:cs="Arial"/>
      <w:sz w:val="24"/>
      <w:szCs w:val="28"/>
      <w:lang w:eastAsia="en-US"/>
    </w:rPr>
  </w:style>
  <w:style w:type="character" w:customStyle="1" w:styleId="97">
    <w:name w:val="批注文字 字符"/>
    <w:basedOn w:val="26"/>
    <w:link w:val="10"/>
    <w:qFormat/>
    <w:uiPriority w:val="0"/>
    <w:rPr>
      <w:rFonts w:eastAsia="Times New Roman"/>
      <w:lang w:eastAsia="en-US"/>
    </w:rPr>
  </w:style>
  <w:style w:type="paragraph" w:customStyle="1" w:styleId="98">
    <w:name w:val="main text"/>
    <w:basedOn w:val="1"/>
    <w:link w:val="99"/>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99">
    <w:name w:val="main text Char"/>
    <w:link w:val="98"/>
    <w:qFormat/>
    <w:uiPriority w:val="0"/>
    <w:rPr>
      <w:rFonts w:eastAsia="Malgun Gothic"/>
      <w:lang w:val="en-GB" w:eastAsia="ko-KR"/>
    </w:rPr>
  </w:style>
  <w:style w:type="character" w:customStyle="1" w:styleId="100">
    <w:name w:val="列表段落 字符1"/>
    <w:qFormat/>
    <w:locked/>
    <w:uiPriority w:val="34"/>
    <w:rPr>
      <w:rFonts w:eastAsia="宋体"/>
      <w:lang w:eastAsia="ja-JP"/>
    </w:rPr>
  </w:style>
  <w:style w:type="paragraph" w:customStyle="1" w:styleId="101">
    <w:name w:val="bullet1"/>
    <w:basedOn w:val="1"/>
    <w:qFormat/>
    <w:uiPriority w:val="0"/>
    <w:pPr>
      <w:numPr>
        <w:ilvl w:val="0"/>
        <w:numId w:val="6"/>
      </w:numPr>
    </w:pPr>
    <w:rPr>
      <w:rFonts w:ascii="Times" w:hAnsi="Times" w:eastAsia="Batang"/>
      <w:sz w:val="20"/>
      <w:lang w:val="en-GB"/>
    </w:rPr>
  </w:style>
  <w:style w:type="paragraph" w:customStyle="1" w:styleId="102">
    <w:name w:val="bullet2"/>
    <w:basedOn w:val="1"/>
    <w:qFormat/>
    <w:uiPriority w:val="0"/>
    <w:pPr>
      <w:numPr>
        <w:ilvl w:val="1"/>
        <w:numId w:val="6"/>
      </w:numPr>
    </w:pPr>
    <w:rPr>
      <w:rFonts w:ascii="Times" w:hAnsi="Times" w:eastAsia="Batang"/>
      <w:sz w:val="20"/>
      <w:lang w:val="en-GB"/>
    </w:rPr>
  </w:style>
  <w:style w:type="paragraph" w:customStyle="1" w:styleId="103">
    <w:name w:val="bullet3"/>
    <w:basedOn w:val="1"/>
    <w:qFormat/>
    <w:uiPriority w:val="0"/>
    <w:pPr>
      <w:numPr>
        <w:ilvl w:val="2"/>
        <w:numId w:val="6"/>
      </w:numPr>
      <w:ind w:hanging="180"/>
    </w:pPr>
    <w:rPr>
      <w:rFonts w:ascii="Times" w:hAnsi="Times" w:eastAsia="Batang"/>
      <w:sz w:val="20"/>
      <w:lang w:val="en-GB"/>
    </w:rPr>
  </w:style>
  <w:style w:type="paragraph" w:customStyle="1" w:styleId="104">
    <w:name w:val="bullet4"/>
    <w:basedOn w:val="1"/>
    <w:qFormat/>
    <w:uiPriority w:val="0"/>
    <w:pPr>
      <w:numPr>
        <w:ilvl w:val="3"/>
        <w:numId w:val="6"/>
      </w:numPr>
    </w:pPr>
    <w:rPr>
      <w:rFonts w:ascii="Times" w:hAnsi="Times" w:eastAsia="Batang"/>
      <w:sz w:val="20"/>
      <w:lang w:val="en-GB"/>
    </w:rPr>
  </w:style>
  <w:style w:type="character" w:customStyle="1" w:styleId="105">
    <w:name w:val="apple-converted-space"/>
    <w:basedOn w:val="26"/>
    <w:qFormat/>
    <w:uiPriority w:val="0"/>
  </w:style>
  <w:style w:type="paragraph" w:customStyle="1" w:styleId="106">
    <w:name w:val="x_xmsonormal"/>
    <w:basedOn w:val="1"/>
    <w:qFormat/>
    <w:uiPriority w:val="0"/>
    <w:rPr>
      <w:rFonts w:ascii="Calibri" w:hAnsi="Calibri" w:eastAsia="Malgun Gothic" w:cs="Calibri"/>
      <w:sz w:val="22"/>
      <w:szCs w:val="22"/>
      <w:lang w:eastAsia="ko-KR"/>
    </w:rPr>
  </w:style>
  <w:style w:type="character" w:customStyle="1" w:styleId="107">
    <w:name w:val="op_dict_text2"/>
    <w:basedOn w:val="26"/>
    <w:qFormat/>
    <w:uiPriority w:val="0"/>
  </w:style>
  <w:style w:type="character" w:customStyle="1" w:styleId="108">
    <w:name w:val="列表段落 字符4"/>
    <w:qFormat/>
    <w:locked/>
    <w:uiPriority w:val="34"/>
    <w:rPr>
      <w:rFonts w:eastAsia="宋体"/>
      <w:lang w:eastAsia="ja-JP"/>
    </w:rPr>
  </w:style>
  <w:style w:type="paragraph" w:customStyle="1" w:styleId="109">
    <w:name w:val="Revision"/>
    <w:hidden/>
    <w:unhideWhenUsed/>
    <w:qFormat/>
    <w:uiPriority w:val="99"/>
    <w:rPr>
      <w:rFonts w:ascii="Times New Roman" w:hAnsi="Times New Roman" w:eastAsia="Times New Roman" w:cs="Times New Roman"/>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C90FEF-724D-4022-90EC-759E68E9C7F9}">
  <ds:schemaRefs/>
</ds:datastoreItem>
</file>

<file path=customXml/itemProps2.xml><?xml version="1.0" encoding="utf-8"?>
<ds:datastoreItem xmlns:ds="http://schemas.openxmlformats.org/officeDocument/2006/customXml" ds:itemID="{4ED2EE91-F727-4CDC-94CB-97E2136A9708}">
  <ds:schemaRefs/>
</ds:datastoreItem>
</file>

<file path=customXml/itemProps3.xml><?xml version="1.0" encoding="utf-8"?>
<ds:datastoreItem xmlns:ds="http://schemas.openxmlformats.org/officeDocument/2006/customXml" ds:itemID="{504B7358-D542-41B5-B290-57365EE42DE5}">
  <ds:schemaRefs/>
</ds:datastoreItem>
</file>

<file path=customXml/itemProps4.xml><?xml version="1.0" encoding="utf-8"?>
<ds:datastoreItem xmlns:ds="http://schemas.openxmlformats.org/officeDocument/2006/customXml" ds:itemID="{F32D05DA-414F-4369-B969-5AB1BB854730}">
  <ds:schemaRefs/>
</ds:datastoreItem>
</file>

<file path=docProps/app.xml><?xml version="1.0" encoding="utf-8"?>
<Properties xmlns="http://schemas.openxmlformats.org/officeDocument/2006/extended-properties" xmlns:vt="http://schemas.openxmlformats.org/officeDocument/2006/docPropsVTypes">
  <Template>Normal.dotm</Template>
  <Company>vivo mobile communication co.</Company>
  <Pages>4</Pages>
  <Words>1728</Words>
  <Characters>8954</Characters>
  <Lines>210</Lines>
  <Paragraphs>115</Paragraphs>
  <TotalTime>11</TotalTime>
  <ScaleCrop>false</ScaleCrop>
  <LinksUpToDate>false</LinksUpToDate>
  <CharactersWithSpaces>10628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2022-02-14T03:42:00Z</dcterms:created>
  <dc:creator>shen xd</dc:creator>
  <cp:lastModifiedBy>林力</cp:lastModifiedBy>
  <cp:lastPrinted>2008-12-09T03:19:00Z</cp:lastPrinted>
  <dcterms:modified xsi:type="dcterms:W3CDTF">2025-07-24T02:04:58Z</dcterms:modified>
  <dc:title>template</dc:title>
  <cp:revision>680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2052-12.1.0.21915</vt:lpwstr>
  </property>
  <property fmtid="{D5CDD505-2E9C-101B-9397-08002B2CF9AE}" pid="9" name="ICV">
    <vt:lpwstr>FFBD8D6884B542F0B03D1AD63C6786A7_13</vt:lpwstr>
  </property>
  <property fmtid="{D5CDD505-2E9C-101B-9397-08002B2CF9AE}" pid="10" name="KSOTemplateDocerSaveRecord">
    <vt:lpwstr>eyJoZGlkIjoiMzVhNDc0NmJlODZjZDAyYWZmMjNmODM5ZDRiY2ZkNjIiLCJ1c2VySWQiOiI2MTY3ODQ5OTEifQ==</vt:lpwstr>
  </property>
</Properties>
</file>